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A4" w:rsidRPr="00052040" w:rsidRDefault="00462460" w:rsidP="00926FA4">
      <w:pPr>
        <w:jc w:val="both"/>
        <w:rPr>
          <w:rFonts w:ascii="Verdana" w:hAnsi="Verdana"/>
          <w:noProof/>
          <w:sz w:val="20"/>
          <w:szCs w:val="20"/>
          <w:lang w:eastAsia="fr-FR"/>
        </w:rPr>
      </w:pPr>
      <w:r>
        <w:rPr>
          <w:rFonts w:ascii="Verdana" w:hAnsi="Verdana"/>
          <w:noProof/>
          <w:sz w:val="20"/>
          <w:lang w:eastAsia="fr-FR"/>
        </w:rPr>
        <w:drawing>
          <wp:anchor distT="0" distB="0" distL="114300" distR="114300" simplePos="0" relativeHeight="251658752" behindDoc="0" locked="0" layoutInCell="1" allowOverlap="1">
            <wp:simplePos x="0" y="0"/>
            <wp:positionH relativeFrom="column">
              <wp:posOffset>-114300</wp:posOffset>
            </wp:positionH>
            <wp:positionV relativeFrom="paragraph">
              <wp:posOffset>114300</wp:posOffset>
            </wp:positionV>
            <wp:extent cx="2603500" cy="876300"/>
            <wp:effectExtent l="19050" t="0" r="6350" b="0"/>
            <wp:wrapTight wrapText="bothSides">
              <wp:wrapPolygon edited="0">
                <wp:start x="-158" y="0"/>
                <wp:lineTo x="-158" y="21130"/>
                <wp:lineTo x="21653" y="21130"/>
                <wp:lineTo x="21653" y="0"/>
                <wp:lineTo x="-158" y="0"/>
              </wp:wrapPolygon>
            </wp:wrapTight>
            <wp:docPr id="4" name="Picture 4" descr="newlogo S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 SRI"/>
                    <pic:cNvPicPr>
                      <a:picLocks noChangeAspect="1" noChangeArrowheads="1"/>
                    </pic:cNvPicPr>
                  </pic:nvPicPr>
                  <pic:blipFill>
                    <a:blip r:embed="rId7" cstate="print"/>
                    <a:srcRect/>
                    <a:stretch>
                      <a:fillRect/>
                    </a:stretch>
                  </pic:blipFill>
                  <pic:spPr bwMode="auto">
                    <a:xfrm>
                      <a:off x="0" y="0"/>
                      <a:ext cx="2603500" cy="876300"/>
                    </a:xfrm>
                    <a:prstGeom prst="rect">
                      <a:avLst/>
                    </a:prstGeom>
                    <a:noFill/>
                    <a:ln w="9525">
                      <a:noFill/>
                      <a:miter lim="800000"/>
                      <a:headEnd/>
                      <a:tailEnd/>
                    </a:ln>
                  </pic:spPr>
                </pic:pic>
              </a:graphicData>
            </a:graphic>
          </wp:anchor>
        </w:drawing>
      </w:r>
      <w:r>
        <w:rPr>
          <w:rFonts w:ascii="Verdana" w:hAnsi="Verdana"/>
          <w:noProof/>
          <w:sz w:val="20"/>
          <w:szCs w:val="20"/>
          <w:lang w:eastAsia="fr-FR"/>
        </w:rPr>
        <w:drawing>
          <wp:anchor distT="0" distB="0" distL="114300" distR="114300" simplePos="0" relativeHeight="251656704" behindDoc="1" locked="0" layoutInCell="1" allowOverlap="1">
            <wp:simplePos x="0" y="0"/>
            <wp:positionH relativeFrom="column">
              <wp:posOffset>3429000</wp:posOffset>
            </wp:positionH>
            <wp:positionV relativeFrom="paragraph">
              <wp:posOffset>-114300</wp:posOffset>
            </wp:positionV>
            <wp:extent cx="2730500" cy="292100"/>
            <wp:effectExtent l="19050" t="0" r="0" b="0"/>
            <wp:wrapTight wrapText="bothSides">
              <wp:wrapPolygon edited="0">
                <wp:start x="-151" y="0"/>
                <wp:lineTo x="-151" y="19722"/>
                <wp:lineTo x="21550" y="19722"/>
                <wp:lineTo x="21550" y="0"/>
                <wp:lineTo x="-15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730500" cy="292100"/>
                    </a:xfrm>
                    <a:prstGeom prst="rect">
                      <a:avLst/>
                    </a:prstGeom>
                    <a:noFill/>
                    <a:ln w="9525">
                      <a:noFill/>
                      <a:miter lim="800000"/>
                      <a:headEnd/>
                      <a:tailEnd/>
                    </a:ln>
                  </pic:spPr>
                </pic:pic>
              </a:graphicData>
            </a:graphic>
          </wp:anchor>
        </w:drawing>
      </w:r>
    </w:p>
    <w:p w:rsidR="00926FA4" w:rsidRPr="00052040" w:rsidRDefault="00462460" w:rsidP="00926FA4">
      <w:pPr>
        <w:jc w:val="both"/>
        <w:rPr>
          <w:rFonts w:ascii="Verdana" w:hAnsi="Verdana"/>
          <w:noProof/>
          <w:sz w:val="20"/>
          <w:szCs w:val="20"/>
          <w:lang w:eastAsia="fr-FR"/>
        </w:rPr>
      </w:pPr>
      <w:r>
        <w:rPr>
          <w:rFonts w:ascii="Verdana" w:hAnsi="Verdana"/>
          <w:noProof/>
          <w:sz w:val="20"/>
          <w:szCs w:val="20"/>
          <w:lang w:eastAsia="fr-FR"/>
        </w:rPr>
        <w:drawing>
          <wp:anchor distT="0" distB="0" distL="114300" distR="114300" simplePos="0" relativeHeight="251657728" behindDoc="1" locked="0" layoutInCell="1" allowOverlap="1">
            <wp:simplePos x="0" y="0"/>
            <wp:positionH relativeFrom="column">
              <wp:posOffset>1282700</wp:posOffset>
            </wp:positionH>
            <wp:positionV relativeFrom="paragraph">
              <wp:posOffset>86995</wp:posOffset>
            </wp:positionV>
            <wp:extent cx="1947545" cy="435610"/>
            <wp:effectExtent l="19050" t="0" r="0" b="0"/>
            <wp:wrapTight wrapText="bothSides">
              <wp:wrapPolygon edited="0">
                <wp:start x="-211" y="0"/>
                <wp:lineTo x="-211" y="20781"/>
                <wp:lineTo x="21551" y="20781"/>
                <wp:lineTo x="21551" y="0"/>
                <wp:lineTo x="-211" y="0"/>
              </wp:wrapPolygon>
            </wp:wrapTight>
            <wp:docPr id="3" name="Picture 3" descr="Logo UDE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DECAM"/>
                    <pic:cNvPicPr>
                      <a:picLocks noChangeAspect="1" noChangeArrowheads="1"/>
                    </pic:cNvPicPr>
                  </pic:nvPicPr>
                  <pic:blipFill>
                    <a:blip r:embed="rId9" cstate="print"/>
                    <a:srcRect/>
                    <a:stretch>
                      <a:fillRect/>
                    </a:stretch>
                  </pic:blipFill>
                  <pic:spPr bwMode="auto">
                    <a:xfrm>
                      <a:off x="0" y="0"/>
                      <a:ext cx="1947545" cy="435610"/>
                    </a:xfrm>
                    <a:prstGeom prst="rect">
                      <a:avLst/>
                    </a:prstGeom>
                    <a:noFill/>
                    <a:ln w="9525">
                      <a:noFill/>
                      <a:miter lim="800000"/>
                      <a:headEnd/>
                      <a:tailEnd/>
                    </a:ln>
                  </pic:spPr>
                </pic:pic>
              </a:graphicData>
            </a:graphic>
          </wp:anchor>
        </w:drawing>
      </w:r>
    </w:p>
    <w:p w:rsidR="00926FA4" w:rsidRPr="00052040" w:rsidRDefault="00926FA4" w:rsidP="00926FA4">
      <w:pPr>
        <w:jc w:val="both"/>
        <w:rPr>
          <w:rFonts w:ascii="Verdana" w:hAnsi="Verdana"/>
          <w:sz w:val="20"/>
          <w:szCs w:val="20"/>
        </w:rPr>
      </w:pPr>
    </w:p>
    <w:p w:rsidR="00926FA4" w:rsidRDefault="00926FA4" w:rsidP="00926FA4">
      <w:pPr>
        <w:jc w:val="both"/>
        <w:rPr>
          <w:rFonts w:ascii="Verdana" w:hAnsi="Verdana"/>
          <w:sz w:val="20"/>
          <w:szCs w:val="20"/>
        </w:rPr>
      </w:pPr>
    </w:p>
    <w:p w:rsidR="00926FA4" w:rsidRPr="00052040" w:rsidRDefault="00926FA4" w:rsidP="00926FA4">
      <w:pPr>
        <w:jc w:val="both"/>
        <w:rPr>
          <w:rFonts w:ascii="Verdana" w:hAnsi="Verdana"/>
          <w:sz w:val="20"/>
          <w:szCs w:val="20"/>
        </w:rPr>
      </w:pPr>
      <w:r w:rsidRPr="00052040">
        <w:rPr>
          <w:rFonts w:ascii="Verdana" w:hAnsi="Verdana"/>
          <w:sz w:val="20"/>
          <w:szCs w:val="20"/>
        </w:rPr>
        <w:t>Communiqué de presse</w:t>
      </w:r>
    </w:p>
    <w:p w:rsidR="00926FA4" w:rsidRPr="00052040" w:rsidRDefault="00926FA4" w:rsidP="00926FA4">
      <w:pPr>
        <w:jc w:val="both"/>
        <w:rPr>
          <w:rFonts w:ascii="Verdana" w:hAnsi="Verdana"/>
          <w:sz w:val="20"/>
          <w:szCs w:val="20"/>
        </w:rPr>
      </w:pPr>
    </w:p>
    <w:p w:rsidR="00926FA4" w:rsidRPr="00052040" w:rsidRDefault="00926FA4" w:rsidP="00926FA4">
      <w:pPr>
        <w:autoSpaceDE w:val="0"/>
        <w:autoSpaceDN w:val="0"/>
        <w:adjustRightInd w:val="0"/>
        <w:spacing w:after="0" w:line="240" w:lineRule="auto"/>
        <w:jc w:val="center"/>
        <w:rPr>
          <w:rFonts w:ascii="Verdana" w:hAnsi="Verdana" w:cs="Verdana,Bold"/>
          <w:b/>
          <w:bCs/>
          <w:color w:val="17365D"/>
          <w:sz w:val="28"/>
          <w:szCs w:val="24"/>
        </w:rPr>
      </w:pPr>
      <w:r w:rsidRPr="00052040">
        <w:rPr>
          <w:rFonts w:ascii="Verdana" w:hAnsi="Verdana" w:cs="Verdana,Bold"/>
          <w:b/>
          <w:bCs/>
          <w:color w:val="17365D"/>
          <w:sz w:val="28"/>
          <w:szCs w:val="24"/>
        </w:rPr>
        <w:t xml:space="preserve">6e édition de l’Observatoire de l’e-Pub </w:t>
      </w:r>
    </w:p>
    <w:p w:rsidR="00926FA4" w:rsidRPr="00052040" w:rsidRDefault="00926FA4" w:rsidP="00926FA4">
      <w:pPr>
        <w:autoSpaceDE w:val="0"/>
        <w:autoSpaceDN w:val="0"/>
        <w:adjustRightInd w:val="0"/>
        <w:spacing w:after="0" w:line="240" w:lineRule="auto"/>
        <w:jc w:val="center"/>
        <w:rPr>
          <w:rFonts w:ascii="Verdana" w:hAnsi="Verdana" w:cs="Verdana,Bold"/>
          <w:b/>
          <w:bCs/>
          <w:color w:val="17365D"/>
          <w:sz w:val="28"/>
          <w:szCs w:val="24"/>
        </w:rPr>
      </w:pPr>
      <w:r>
        <w:rPr>
          <w:rFonts w:ascii="Verdana" w:hAnsi="Verdana" w:cs="Verdana,Bold"/>
          <w:b/>
          <w:bCs/>
          <w:i/>
          <w:iCs/>
          <w:color w:val="17365D"/>
          <w:sz w:val="28"/>
          <w:szCs w:val="24"/>
        </w:rPr>
        <w:t xml:space="preserve">du </w:t>
      </w:r>
      <w:r w:rsidRPr="00052040">
        <w:rPr>
          <w:rFonts w:ascii="Verdana" w:hAnsi="Verdana" w:cs="Verdana,Bold"/>
          <w:b/>
          <w:bCs/>
          <w:i/>
          <w:iCs/>
          <w:color w:val="17365D"/>
          <w:sz w:val="28"/>
          <w:szCs w:val="24"/>
        </w:rPr>
        <w:t xml:space="preserve">SRI </w:t>
      </w:r>
      <w:r>
        <w:rPr>
          <w:rFonts w:ascii="Verdana" w:hAnsi="Verdana" w:cs="Verdana,Bold"/>
          <w:b/>
          <w:bCs/>
          <w:i/>
          <w:iCs/>
          <w:color w:val="17365D"/>
          <w:sz w:val="28"/>
          <w:szCs w:val="24"/>
        </w:rPr>
        <w:t>et de</w:t>
      </w:r>
      <w:r w:rsidRPr="00052040">
        <w:rPr>
          <w:rFonts w:ascii="Verdana" w:hAnsi="Verdana" w:cs="Verdana,Bold"/>
          <w:b/>
          <w:bCs/>
          <w:i/>
          <w:iCs/>
          <w:color w:val="17365D"/>
          <w:sz w:val="28"/>
          <w:szCs w:val="24"/>
        </w:rPr>
        <w:t xml:space="preserve"> Capgemini Consulting, </w:t>
      </w:r>
    </w:p>
    <w:p w:rsidR="00926FA4" w:rsidRPr="00052040" w:rsidRDefault="00926FA4" w:rsidP="00926FA4">
      <w:pPr>
        <w:autoSpaceDE w:val="0"/>
        <w:autoSpaceDN w:val="0"/>
        <w:adjustRightInd w:val="0"/>
        <w:spacing w:after="0" w:line="240" w:lineRule="auto"/>
        <w:jc w:val="center"/>
        <w:rPr>
          <w:rFonts w:ascii="Verdana" w:hAnsi="Verdana" w:cs="Verdana,Bold"/>
          <w:b/>
          <w:bCs/>
          <w:i/>
          <w:iCs/>
          <w:color w:val="17365D"/>
          <w:sz w:val="28"/>
          <w:szCs w:val="24"/>
        </w:rPr>
      </w:pPr>
      <w:r w:rsidRPr="00052040">
        <w:rPr>
          <w:rFonts w:ascii="Verdana" w:hAnsi="Verdana" w:cs="Verdana,Bold"/>
          <w:b/>
          <w:bCs/>
          <w:i/>
          <w:iCs/>
          <w:color w:val="17365D"/>
          <w:sz w:val="28"/>
          <w:szCs w:val="24"/>
        </w:rPr>
        <w:t>en partenariat avec l’UDECAM</w:t>
      </w:r>
    </w:p>
    <w:p w:rsidR="00926FA4" w:rsidRDefault="00926FA4" w:rsidP="00926FA4">
      <w:pPr>
        <w:autoSpaceDE w:val="0"/>
        <w:autoSpaceDN w:val="0"/>
        <w:adjustRightInd w:val="0"/>
        <w:spacing w:after="0" w:line="240" w:lineRule="auto"/>
        <w:jc w:val="both"/>
        <w:rPr>
          <w:rFonts w:ascii="Verdana" w:hAnsi="Verdana" w:cs="Verdana,Bold"/>
          <w:b/>
          <w:bCs/>
          <w:color w:val="000000"/>
          <w:sz w:val="20"/>
          <w:szCs w:val="20"/>
        </w:rPr>
      </w:pPr>
    </w:p>
    <w:p w:rsidR="00926FA4" w:rsidRDefault="00926FA4" w:rsidP="00926FA4">
      <w:pPr>
        <w:autoSpaceDE w:val="0"/>
        <w:autoSpaceDN w:val="0"/>
        <w:adjustRightInd w:val="0"/>
        <w:spacing w:after="0" w:line="240" w:lineRule="auto"/>
        <w:jc w:val="both"/>
        <w:rPr>
          <w:rFonts w:ascii="Verdana" w:hAnsi="Verdana" w:cs="Verdana,Bold"/>
          <w:b/>
          <w:bCs/>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Bold"/>
          <w:b/>
          <w:bCs/>
          <w:color w:val="000000"/>
          <w:sz w:val="20"/>
          <w:szCs w:val="20"/>
        </w:rPr>
      </w:pPr>
    </w:p>
    <w:p w:rsidR="00926FA4" w:rsidRPr="007D14FB" w:rsidRDefault="00926FA4" w:rsidP="00926FA4">
      <w:pPr>
        <w:autoSpaceDE w:val="0"/>
        <w:autoSpaceDN w:val="0"/>
        <w:adjustRightInd w:val="0"/>
        <w:spacing w:after="0" w:line="240" w:lineRule="auto"/>
        <w:jc w:val="center"/>
        <w:rPr>
          <w:rFonts w:ascii="Verdana" w:hAnsi="Verdana" w:cs="Verdana,Bold"/>
          <w:b/>
          <w:bCs/>
          <w:color w:val="000000"/>
        </w:rPr>
      </w:pPr>
      <w:r w:rsidRPr="007D14FB">
        <w:rPr>
          <w:rFonts w:ascii="Verdana" w:hAnsi="Verdana" w:cs="Verdana,Bold"/>
          <w:b/>
          <w:bCs/>
          <w:color w:val="000000"/>
        </w:rPr>
        <w:t xml:space="preserve">Le marché français de la communication publicitaire online atteint </w:t>
      </w:r>
      <w:r w:rsidRPr="007D14FB">
        <w:rPr>
          <w:rFonts w:ascii="Verdana" w:hAnsi="Verdana" w:cs="Verdana,Bold"/>
          <w:b/>
          <w:bCs/>
          <w:color w:val="000000"/>
        </w:rPr>
        <w:br/>
        <w:t>1,27 milliards d’euros de chiffre d’affaires net a</w:t>
      </w:r>
      <w:r>
        <w:rPr>
          <w:rFonts w:ascii="Verdana" w:hAnsi="Verdana" w:cs="Verdana,Bold"/>
          <w:b/>
          <w:bCs/>
          <w:color w:val="000000"/>
        </w:rPr>
        <w:t>u premier semestre 2011, en</w:t>
      </w:r>
      <w:r w:rsidRPr="007D14FB">
        <w:rPr>
          <w:rFonts w:ascii="Verdana" w:hAnsi="Verdana" w:cs="Verdana,Bold"/>
          <w:b/>
          <w:bCs/>
          <w:color w:val="000000"/>
        </w:rPr>
        <w:t xml:space="preserve"> progression de 12% par rapport au premier semestre 2010.</w:t>
      </w:r>
    </w:p>
    <w:p w:rsidR="00926FA4" w:rsidRDefault="00926FA4" w:rsidP="00926FA4">
      <w:pPr>
        <w:autoSpaceDE w:val="0"/>
        <w:autoSpaceDN w:val="0"/>
        <w:adjustRightInd w:val="0"/>
        <w:spacing w:after="0" w:line="240" w:lineRule="auto"/>
        <w:jc w:val="center"/>
        <w:rPr>
          <w:rFonts w:ascii="Verdana" w:hAnsi="Verdana" w:cs="Verdana,Bold"/>
          <w:b/>
          <w:bCs/>
          <w:color w:val="000000"/>
          <w:sz w:val="20"/>
        </w:rPr>
      </w:pPr>
    </w:p>
    <w:p w:rsidR="00926FA4" w:rsidRPr="00052040" w:rsidRDefault="00926FA4" w:rsidP="00926FA4">
      <w:pPr>
        <w:autoSpaceDE w:val="0"/>
        <w:autoSpaceDN w:val="0"/>
        <w:adjustRightInd w:val="0"/>
        <w:spacing w:after="0" w:line="240" w:lineRule="auto"/>
        <w:jc w:val="center"/>
        <w:rPr>
          <w:rFonts w:ascii="Verdana" w:hAnsi="Verdana" w:cs="Verdana,Bold"/>
          <w:b/>
          <w:bCs/>
          <w:color w:val="000000"/>
          <w:sz w:val="20"/>
        </w:rPr>
      </w:pPr>
    </w:p>
    <w:p w:rsidR="00926FA4" w:rsidRPr="00052040" w:rsidRDefault="00926FA4" w:rsidP="00926FA4">
      <w:pPr>
        <w:autoSpaceDE w:val="0"/>
        <w:autoSpaceDN w:val="0"/>
        <w:adjustRightInd w:val="0"/>
        <w:spacing w:after="0" w:line="240" w:lineRule="auto"/>
        <w:jc w:val="center"/>
        <w:rPr>
          <w:rFonts w:ascii="Verdana" w:hAnsi="Verdana" w:cs="Verdana,Bold"/>
          <w:b/>
          <w:bCs/>
          <w:color w:val="000000"/>
          <w:sz w:val="20"/>
        </w:rPr>
      </w:pPr>
    </w:p>
    <w:tbl>
      <w:tblPr>
        <w:tblW w:w="0" w:type="auto"/>
        <w:shd w:val="clear" w:color="auto" w:fill="F2F2F2"/>
        <w:tblLook w:val="04A0"/>
      </w:tblPr>
      <w:tblGrid>
        <w:gridCol w:w="9212"/>
      </w:tblGrid>
      <w:tr w:rsidR="00926FA4" w:rsidRPr="00052040">
        <w:trPr>
          <w:trHeight w:val="1853"/>
        </w:trPr>
        <w:tc>
          <w:tcPr>
            <w:tcW w:w="9212" w:type="dxa"/>
            <w:shd w:val="clear" w:color="auto" w:fill="F2F2F2"/>
          </w:tcPr>
          <w:p w:rsidR="00926FA4" w:rsidRPr="00052040" w:rsidRDefault="00926FA4" w:rsidP="00926FA4">
            <w:pPr>
              <w:autoSpaceDE w:val="0"/>
              <w:autoSpaceDN w:val="0"/>
              <w:adjustRightInd w:val="0"/>
              <w:spacing w:after="0" w:line="240" w:lineRule="auto"/>
              <w:jc w:val="both"/>
              <w:rPr>
                <w:rFonts w:ascii="Verdana" w:hAnsi="Verdana" w:cs="Verdana,Italic"/>
                <w:b/>
                <w:bCs/>
                <w:i/>
                <w:iCs/>
                <w:color w:val="000000"/>
                <w:sz w:val="20"/>
                <w:szCs w:val="20"/>
              </w:rPr>
            </w:pPr>
            <w:r w:rsidRPr="00052040">
              <w:rPr>
                <w:rFonts w:ascii="Verdana" w:hAnsi="Verdana" w:cs="Verdana,Italic"/>
                <w:i/>
                <w:iCs/>
                <w:color w:val="000000"/>
                <w:sz w:val="20"/>
                <w:szCs w:val="20"/>
              </w:rPr>
              <w:t xml:space="preserve">Paris, le 7 juillet 2011 - </w:t>
            </w:r>
            <w:r w:rsidRPr="00052040">
              <w:rPr>
                <w:rFonts w:ascii="Verdana" w:hAnsi="Verdana" w:cs="Verdana,Italic"/>
                <w:b/>
                <w:bCs/>
                <w:i/>
                <w:iCs/>
                <w:color w:val="000000"/>
                <w:sz w:val="20"/>
                <w:szCs w:val="20"/>
              </w:rPr>
              <w:t xml:space="preserve">Le SRI </w:t>
            </w:r>
            <w:r w:rsidRPr="00052040">
              <w:rPr>
                <w:rFonts w:ascii="Verdana" w:hAnsi="Verdana" w:cs="Verdana,Italic"/>
                <w:i/>
                <w:iCs/>
                <w:color w:val="000000"/>
                <w:sz w:val="20"/>
                <w:szCs w:val="20"/>
              </w:rPr>
              <w:t>(Syndicat des Régies Internet)</w:t>
            </w:r>
            <w:r w:rsidRPr="00052040">
              <w:rPr>
                <w:rFonts w:ascii="Verdana" w:hAnsi="Verdana" w:cs="Verdana,Italic"/>
                <w:b/>
                <w:bCs/>
                <w:i/>
                <w:iCs/>
                <w:color w:val="000000"/>
                <w:sz w:val="20"/>
                <w:szCs w:val="20"/>
              </w:rPr>
              <w:t xml:space="preserve">, l’UDECAM </w:t>
            </w:r>
            <w:r w:rsidRPr="00052040">
              <w:rPr>
                <w:rFonts w:ascii="Verdana" w:hAnsi="Verdana" w:cs="Verdana,Italic"/>
                <w:i/>
                <w:iCs/>
                <w:color w:val="000000"/>
                <w:sz w:val="20"/>
                <w:szCs w:val="20"/>
              </w:rPr>
              <w:t xml:space="preserve">(Union des Entreprises de Conseil et d’Achat Medias) </w:t>
            </w:r>
            <w:r w:rsidRPr="00052040">
              <w:rPr>
                <w:rFonts w:ascii="Verdana" w:hAnsi="Verdana" w:cs="Verdana,Italic"/>
                <w:b/>
                <w:bCs/>
                <w:i/>
                <w:iCs/>
                <w:color w:val="000000"/>
                <w:sz w:val="20"/>
                <w:szCs w:val="20"/>
              </w:rPr>
              <w:t>et Capgemini Consulting ont présenté,</w:t>
            </w:r>
            <w:r w:rsidRPr="00052040">
              <w:rPr>
                <w:rFonts w:ascii="Verdana" w:hAnsi="Verdana" w:cs="Verdana,Italic"/>
                <w:i/>
                <w:iCs/>
                <w:color w:val="000000"/>
                <w:sz w:val="20"/>
                <w:szCs w:val="20"/>
              </w:rPr>
              <w:t xml:space="preserve"> </w:t>
            </w:r>
            <w:r w:rsidRPr="00052040">
              <w:rPr>
                <w:rFonts w:ascii="Verdana" w:hAnsi="Verdana" w:cs="Verdana,Italic"/>
                <w:b/>
                <w:bCs/>
                <w:i/>
                <w:iCs/>
                <w:color w:val="000000"/>
                <w:sz w:val="20"/>
                <w:szCs w:val="20"/>
              </w:rPr>
              <w:t>aujourd’hui, les résultats de la 6e édition de l’Observatoire de l’e-pub.</w:t>
            </w:r>
            <w:r w:rsidRPr="00052040">
              <w:rPr>
                <w:rFonts w:ascii="Verdana" w:hAnsi="Verdana" w:cs="Verdana,Italic"/>
                <w:i/>
                <w:iCs/>
                <w:color w:val="000000"/>
                <w:sz w:val="20"/>
                <w:szCs w:val="20"/>
              </w:rPr>
              <w:t xml:space="preserve"> </w:t>
            </w:r>
            <w:r w:rsidRPr="00052040">
              <w:rPr>
                <w:rFonts w:ascii="Verdana" w:hAnsi="Verdana" w:cs="Verdana,Italic"/>
                <w:b/>
                <w:bCs/>
                <w:i/>
                <w:iCs/>
                <w:color w:val="000000"/>
                <w:sz w:val="20"/>
                <w:szCs w:val="20"/>
              </w:rPr>
              <w:t>Cette étude, réalisée par Capgemini Consulting à l’initiative du SRI, a pour objectif de mesurer le marché français de la communication publicitaire online en observant l’évolution de son chiffre d’affaires net dans toutes ses dimensions (search, display, affiliation, e-mailing, comparateurs, mobile).</w:t>
            </w:r>
          </w:p>
        </w:tc>
      </w:tr>
    </w:tbl>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Au premier semestre 2011, le marché de la communication online a progressé de 12% pour atteindre 1,27 milliards d’euros nets de chiffre d’affaires. Cette croissance touche l’ensemble des canaux de communication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7"/>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Le </w:t>
      </w:r>
      <w:r w:rsidRPr="00052040">
        <w:rPr>
          <w:rFonts w:ascii="Verdana" w:hAnsi="Verdana" w:cs="Verdana"/>
          <w:b/>
          <w:color w:val="000000"/>
          <w:sz w:val="20"/>
          <w:szCs w:val="20"/>
        </w:rPr>
        <w:t>Search</w:t>
      </w:r>
      <w:r w:rsidRPr="00052040">
        <w:rPr>
          <w:rFonts w:ascii="Verdana" w:hAnsi="Verdana" w:cs="Verdana"/>
          <w:color w:val="000000"/>
          <w:sz w:val="20"/>
          <w:szCs w:val="20"/>
        </w:rPr>
        <w:t xml:space="preserve"> (liens sponsorisés) poursuit sa progression (+14%) et affiche un chiffre d’affaires de 490 millions d’euros net sur le semestre.</w:t>
      </w:r>
    </w:p>
    <w:p w:rsidR="00926FA4" w:rsidRPr="00052040" w:rsidRDefault="00926FA4" w:rsidP="00926FA4">
      <w:pPr>
        <w:autoSpaceDE w:val="0"/>
        <w:autoSpaceDN w:val="0"/>
        <w:adjustRightInd w:val="0"/>
        <w:spacing w:after="0" w:line="240" w:lineRule="auto"/>
        <w:ind w:left="720"/>
        <w:jc w:val="both"/>
        <w:rPr>
          <w:rFonts w:ascii="Verdana" w:hAnsi="Verdana" w:cs="Verdana"/>
          <w:color w:val="000000"/>
          <w:sz w:val="20"/>
          <w:szCs w:val="20"/>
        </w:rPr>
      </w:pPr>
    </w:p>
    <w:p w:rsidR="00926FA4" w:rsidRPr="00052040" w:rsidRDefault="00926FA4" w:rsidP="00926FA4">
      <w:pPr>
        <w:numPr>
          <w:ilvl w:val="0"/>
          <w:numId w:val="7"/>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Le </w:t>
      </w:r>
      <w:r w:rsidRPr="00052040">
        <w:rPr>
          <w:rFonts w:ascii="Verdana" w:hAnsi="Verdana" w:cs="Verdana"/>
          <w:b/>
          <w:color w:val="000000"/>
          <w:sz w:val="20"/>
          <w:szCs w:val="20"/>
        </w:rPr>
        <w:t>Display</w:t>
      </w:r>
      <w:r w:rsidRPr="00052040">
        <w:rPr>
          <w:rFonts w:ascii="Verdana" w:hAnsi="Verdana" w:cs="Verdana"/>
          <w:color w:val="000000"/>
          <w:sz w:val="20"/>
          <w:szCs w:val="20"/>
        </w:rPr>
        <w:t xml:space="preserve"> (publicité graphique), deuxième segment en valeur, a connu une croissance plus forte que le search au premier semestre (+17%), portant le chiffre d’affaires à 303 millions d’euros nets. Le format vidéo et le display à la performance ont constitué d’importants leviers de croissance sur ce segment.</w:t>
      </w:r>
    </w:p>
    <w:p w:rsidR="00926FA4" w:rsidRPr="00052040" w:rsidRDefault="00926FA4" w:rsidP="00926FA4">
      <w:pPr>
        <w:autoSpaceDE w:val="0"/>
        <w:autoSpaceDN w:val="0"/>
        <w:adjustRightInd w:val="0"/>
        <w:spacing w:after="0" w:line="240" w:lineRule="auto"/>
        <w:ind w:left="720"/>
        <w:jc w:val="both"/>
        <w:rPr>
          <w:rFonts w:ascii="Verdana" w:hAnsi="Verdana" w:cs="Verdana"/>
          <w:color w:val="000000"/>
          <w:sz w:val="20"/>
          <w:szCs w:val="20"/>
        </w:rPr>
      </w:pPr>
    </w:p>
    <w:p w:rsidR="00926FA4" w:rsidRPr="00052040" w:rsidRDefault="00926FA4" w:rsidP="00926FA4">
      <w:pPr>
        <w:numPr>
          <w:ilvl w:val="0"/>
          <w:numId w:val="7"/>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L’</w:t>
      </w:r>
      <w:r w:rsidRPr="00052040">
        <w:rPr>
          <w:rFonts w:ascii="Verdana" w:hAnsi="Verdana" w:cs="Verdana"/>
          <w:b/>
          <w:color w:val="000000"/>
          <w:sz w:val="20"/>
          <w:szCs w:val="20"/>
        </w:rPr>
        <w:t>Affiliation</w:t>
      </w:r>
      <w:r w:rsidRPr="00052040">
        <w:rPr>
          <w:rFonts w:ascii="Verdana" w:hAnsi="Verdana" w:cs="Verdana"/>
          <w:color w:val="000000"/>
          <w:sz w:val="20"/>
          <w:szCs w:val="20"/>
        </w:rPr>
        <w:t xml:space="preserve"> et les </w:t>
      </w:r>
      <w:r w:rsidRPr="00052040">
        <w:rPr>
          <w:rFonts w:ascii="Verdana" w:hAnsi="Verdana" w:cs="Verdana"/>
          <w:b/>
          <w:color w:val="000000"/>
          <w:sz w:val="20"/>
          <w:szCs w:val="20"/>
        </w:rPr>
        <w:t>Comparateurs de prix</w:t>
      </w:r>
      <w:r w:rsidRPr="00052040">
        <w:rPr>
          <w:rFonts w:ascii="Verdana" w:hAnsi="Verdana" w:cs="Verdana"/>
          <w:color w:val="000000"/>
          <w:sz w:val="20"/>
          <w:szCs w:val="20"/>
        </w:rPr>
        <w:t xml:space="preserve"> sont toujours tirés en 2011 par le dynamisme du e-commerce et affichent respectivement des chiffres d’affaires de 107 millions d’euros nets (+18%) et 63 millions d’euros nets (+10%).</w:t>
      </w:r>
    </w:p>
    <w:p w:rsidR="00926FA4" w:rsidRPr="00052040" w:rsidRDefault="00926FA4" w:rsidP="00926FA4">
      <w:pPr>
        <w:autoSpaceDE w:val="0"/>
        <w:autoSpaceDN w:val="0"/>
        <w:adjustRightInd w:val="0"/>
        <w:spacing w:after="0" w:line="240" w:lineRule="auto"/>
        <w:ind w:left="720"/>
        <w:jc w:val="both"/>
        <w:rPr>
          <w:rFonts w:ascii="Verdana" w:hAnsi="Verdana" w:cs="Verdana"/>
          <w:color w:val="000000"/>
          <w:sz w:val="20"/>
          <w:szCs w:val="20"/>
        </w:rPr>
      </w:pPr>
    </w:p>
    <w:p w:rsidR="00926FA4" w:rsidRPr="00052040" w:rsidRDefault="00926FA4" w:rsidP="00926FA4">
      <w:pPr>
        <w:numPr>
          <w:ilvl w:val="0"/>
          <w:numId w:val="7"/>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Après une période de baisse ces dernières années, l’</w:t>
      </w:r>
      <w:r w:rsidRPr="00052040">
        <w:rPr>
          <w:rFonts w:ascii="Verdana" w:hAnsi="Verdana" w:cs="Verdana"/>
          <w:b/>
          <w:color w:val="000000"/>
          <w:sz w:val="20"/>
          <w:szCs w:val="20"/>
        </w:rPr>
        <w:t>E-mailing</w:t>
      </w:r>
      <w:r w:rsidRPr="00052040">
        <w:rPr>
          <w:rFonts w:ascii="Verdana" w:hAnsi="Verdana" w:cs="Verdana"/>
          <w:color w:val="000000"/>
          <w:sz w:val="20"/>
          <w:szCs w:val="20"/>
        </w:rPr>
        <w:t xml:space="preserve"> renoue avec la croissance (+3%) et atteint 54 millions d’euros nets au premier semestre. Les efforts des acteurs du marché pour améliorer la qualité des bases ont favorisé le retour de la confiance des annonceurs.</w:t>
      </w:r>
    </w:p>
    <w:p w:rsidR="00926FA4" w:rsidRPr="00052040" w:rsidRDefault="00926FA4" w:rsidP="00926FA4">
      <w:pPr>
        <w:autoSpaceDE w:val="0"/>
        <w:autoSpaceDN w:val="0"/>
        <w:adjustRightInd w:val="0"/>
        <w:spacing w:after="0" w:line="240" w:lineRule="auto"/>
        <w:ind w:left="720"/>
        <w:jc w:val="both"/>
        <w:rPr>
          <w:rFonts w:ascii="Verdana" w:hAnsi="Verdana" w:cs="Verdana"/>
          <w:color w:val="000000"/>
          <w:sz w:val="20"/>
          <w:szCs w:val="20"/>
        </w:rPr>
      </w:pPr>
    </w:p>
    <w:p w:rsidR="00926FA4" w:rsidRPr="00052040" w:rsidRDefault="00926FA4" w:rsidP="00926FA4">
      <w:pPr>
        <w:numPr>
          <w:ilvl w:val="0"/>
          <w:numId w:val="7"/>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lastRenderedPageBreak/>
        <w:t xml:space="preserve">Dopé par des usages qui se développent rapidement et une offre de plus en plus riche et plus adaptée aux besoins des annonceurs, le </w:t>
      </w:r>
      <w:r w:rsidRPr="00052040">
        <w:rPr>
          <w:rFonts w:ascii="Verdana" w:hAnsi="Verdana" w:cs="Verdana"/>
          <w:b/>
          <w:color w:val="000000"/>
          <w:sz w:val="20"/>
          <w:szCs w:val="20"/>
        </w:rPr>
        <w:t>Mobile</w:t>
      </w:r>
      <w:r w:rsidRPr="00052040">
        <w:rPr>
          <w:rFonts w:ascii="Verdana" w:hAnsi="Verdana" w:cs="Verdana"/>
          <w:color w:val="000000"/>
          <w:sz w:val="20"/>
          <w:szCs w:val="20"/>
        </w:rPr>
        <w:t xml:space="preserve"> affiche une croissance de 38% qui porte le chiffre d’affaires à 18 millions d’euros nets ce semestre.</w:t>
      </w:r>
    </w:p>
    <w:p w:rsidR="00926FA4" w:rsidRPr="00052040" w:rsidRDefault="00926FA4" w:rsidP="00926FA4">
      <w:pPr>
        <w:autoSpaceDE w:val="0"/>
        <w:autoSpaceDN w:val="0"/>
        <w:adjustRightInd w:val="0"/>
        <w:spacing w:after="0" w:line="240" w:lineRule="auto"/>
        <w:ind w:left="720"/>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b/>
          <w:color w:val="000000"/>
          <w:sz w:val="20"/>
          <w:szCs w:val="20"/>
          <w:u w:val="single"/>
        </w:rPr>
      </w:pPr>
      <w:r w:rsidRPr="00052040">
        <w:rPr>
          <w:rFonts w:ascii="Verdana" w:hAnsi="Verdana" w:cs="Verdana"/>
          <w:b/>
          <w:color w:val="000000"/>
          <w:sz w:val="20"/>
          <w:szCs w:val="20"/>
          <w:u w:val="single"/>
        </w:rPr>
        <w:t>Les principales tendances qui ont marqué le premier semestre 2011</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r w:rsidRPr="00052040">
        <w:rPr>
          <w:rFonts w:ascii="Verdana" w:hAnsi="Verdana" w:cs="Verdana"/>
          <w:sz w:val="20"/>
          <w:szCs w:val="20"/>
        </w:rPr>
        <w:t>Le marché de la communication en ligne affiche une forte dynamique de croissance des investissements au premier semestre 2011 (+12%).</w:t>
      </w: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r w:rsidRPr="00052040">
        <w:rPr>
          <w:rFonts w:ascii="Verdana" w:hAnsi="Verdana" w:cs="Verdana"/>
          <w:sz w:val="20"/>
          <w:szCs w:val="20"/>
        </w:rPr>
        <w:t>Sébastien Danet, Président de l’UDECAM, réagit sur cette tendance :</w:t>
      </w:r>
    </w:p>
    <w:p w:rsidR="00926FA4" w:rsidRPr="00052040" w:rsidRDefault="00926FA4" w:rsidP="00462460">
      <w:pPr>
        <w:autoSpaceDE w:val="0"/>
        <w:autoSpaceDN w:val="0"/>
        <w:adjustRightInd w:val="0"/>
        <w:spacing w:after="0" w:line="240" w:lineRule="auto"/>
        <w:jc w:val="both"/>
        <w:rPr>
          <w:rFonts w:ascii="Verdana" w:hAnsi="Verdana" w:cs="Verdana"/>
          <w:i/>
          <w:sz w:val="20"/>
          <w:szCs w:val="20"/>
        </w:rPr>
      </w:pPr>
      <w:r w:rsidRPr="00052040">
        <w:rPr>
          <w:rFonts w:ascii="Verdana" w:hAnsi="Verdana" w:cs="Verdana"/>
          <w:i/>
          <w:sz w:val="20"/>
          <w:szCs w:val="20"/>
        </w:rPr>
        <w:t xml:space="preserve">« Il est très impressionnant de voir que l'internet maintient un rythme de croissance à 2 chiffres, avec l'ensemble des leviers sans exception orientés à la hausse. Dans un contexte publicitaire général assez tendu, le digital va continuer de tirer l'ensemble du marché et réduire ainsi son décalage entre temps passé et investissements </w:t>
      </w:r>
      <w:r w:rsidR="00462460">
        <w:rPr>
          <w:rFonts w:ascii="Verdana" w:hAnsi="Verdana" w:cs="Verdana"/>
          <w:i/>
          <w:sz w:val="20"/>
          <w:szCs w:val="20"/>
        </w:rPr>
        <w:br/>
      </w:r>
      <w:r w:rsidRPr="00052040">
        <w:rPr>
          <w:rFonts w:ascii="Verdana" w:hAnsi="Verdana" w:cs="Verdana"/>
          <w:i/>
          <w:sz w:val="20"/>
          <w:szCs w:val="20"/>
        </w:rPr>
        <w:t>publicitaires ».</w:t>
      </w: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r w:rsidRPr="00052040">
        <w:rPr>
          <w:rFonts w:ascii="Verdana" w:hAnsi="Verdana" w:cs="Verdana"/>
          <w:sz w:val="20"/>
          <w:szCs w:val="20"/>
        </w:rPr>
        <w:t>Six tendances clés ont marqué le marché au premier semestre 2011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sz w:val="20"/>
          <w:szCs w:val="20"/>
        </w:rPr>
      </w:pPr>
      <w:r w:rsidRPr="00052040">
        <w:rPr>
          <w:rFonts w:ascii="Verdana" w:hAnsi="Verdana" w:cs="Verdana"/>
          <w:b/>
          <w:color w:val="000000"/>
          <w:sz w:val="20"/>
          <w:szCs w:val="20"/>
        </w:rPr>
        <w:t>Une volatilité plus marquée des investissements et une visibilité plus faible pour les agences et régies</w:t>
      </w:r>
    </w:p>
    <w:p w:rsidR="00926FA4" w:rsidRPr="00052040" w:rsidRDefault="00926FA4" w:rsidP="00926FA4">
      <w:pPr>
        <w:autoSpaceDE w:val="0"/>
        <w:autoSpaceDN w:val="0"/>
        <w:adjustRightInd w:val="0"/>
        <w:spacing w:after="0" w:line="240" w:lineRule="auto"/>
        <w:jc w:val="both"/>
        <w:rPr>
          <w:rFonts w:ascii="Verdana" w:hAnsi="Verdana" w:cs="Verdana"/>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Les annonceurs mettent en place, en interne, des outils décisionnels qui leur permettent de piloter plus finement l’efficacité de leurs campagnes.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i/>
          <w:color w:val="000000"/>
          <w:sz w:val="20"/>
          <w:szCs w:val="20"/>
        </w:rPr>
      </w:pPr>
      <w:r w:rsidRPr="00052040">
        <w:rPr>
          <w:rFonts w:ascii="Verdana" w:hAnsi="Verdana" w:cs="Verdana"/>
          <w:color w:val="000000"/>
          <w:sz w:val="20"/>
          <w:szCs w:val="20"/>
        </w:rPr>
        <w:t xml:space="preserve"> </w:t>
      </w:r>
      <w:r w:rsidRPr="00052040">
        <w:rPr>
          <w:rFonts w:ascii="Verdana" w:hAnsi="Verdana" w:cs="Verdana"/>
          <w:i/>
          <w:color w:val="000000"/>
          <w:sz w:val="20"/>
          <w:szCs w:val="20"/>
        </w:rPr>
        <w:t>« Les annonceurs qui utilisent ces outils décisionnels réévaluent l’allocation de leurs investissements entre les différents supports et canaux de communication en ligne. Ceci entraîne une plus forte volatilité des investissements sur le marché »p</w:t>
      </w:r>
      <w:r w:rsidRPr="00052040">
        <w:rPr>
          <w:rFonts w:ascii="Verdana" w:hAnsi="Verdana" w:cs="Verdana"/>
          <w:color w:val="000000"/>
          <w:sz w:val="20"/>
          <w:szCs w:val="20"/>
        </w:rPr>
        <w:t xml:space="preserve">récise Nicolas Auberty, Directeur au sein de Capgemini Consulting, </w:t>
      </w:r>
      <w:r>
        <w:rPr>
          <w:rFonts w:ascii="Verdana" w:hAnsi="Verdana" w:cs="Verdana"/>
          <w:color w:val="000000"/>
          <w:sz w:val="20"/>
          <w:szCs w:val="20"/>
        </w:rPr>
        <w:t>« </w:t>
      </w:r>
      <w:r w:rsidRPr="00052040">
        <w:rPr>
          <w:rFonts w:ascii="Verdana" w:hAnsi="Verdana" w:cs="Verdana"/>
          <w:i/>
          <w:color w:val="000000"/>
          <w:sz w:val="20"/>
          <w:szCs w:val="20"/>
        </w:rPr>
        <w:t>Cette montée en compétence des annonceurs sur la définition de leur mix digital favorise également la rapidité des prises de décision réduisant ainsi la visibilité à moyen terme sur les investissements des agences et des régies.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b/>
          <w:color w:val="000000"/>
          <w:sz w:val="20"/>
          <w:szCs w:val="20"/>
        </w:rPr>
      </w:pPr>
      <w:r w:rsidRPr="00052040">
        <w:rPr>
          <w:rFonts w:ascii="Verdana" w:hAnsi="Verdana" w:cs="Verdana"/>
          <w:b/>
          <w:color w:val="000000"/>
          <w:sz w:val="20"/>
          <w:szCs w:val="20"/>
        </w:rPr>
        <w:t>La publicité vidéo reste un moteur de croissance sur le marché de la publicité display branding</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Le marché du display branding est tiré par les formats à forte valeur. Après la prise de conscience par les annonceurs de la pertinence de la publicité vidéo en ligne en 2010, le rattrapage des investissements se poursuit en 2011 ; les annonceurs du secteur de la Grande Consommation confirment leur intérêt pour ce mode de communication.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Par ailleurs, les espaces publicitaires disponibles se développent au-delà de la « télévision de rattrapage » (catch up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i/>
          <w:color w:val="000000"/>
          <w:sz w:val="20"/>
          <w:szCs w:val="20"/>
        </w:rPr>
        <w:t xml:space="preserve"> « La vidéo reste cette année l’un des principaux leviers de croissance du display ; ce marché devrait doubler en 2011. L’offre s’est enrichie tant au niveau des formats qui deviennent de plus en plus interactifs et sophistiqués que des inventaires disponibles » </w:t>
      </w:r>
      <w:r w:rsidRPr="00052040">
        <w:rPr>
          <w:rFonts w:ascii="Verdana" w:hAnsi="Verdana" w:cs="Verdana"/>
          <w:color w:val="000000"/>
          <w:sz w:val="20"/>
          <w:szCs w:val="20"/>
        </w:rPr>
        <w:t>analyse Jérôme Bourgeais, Vice Président au sein de Capgemini Consulting.</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sz w:val="20"/>
          <w:szCs w:val="20"/>
        </w:rPr>
      </w:pPr>
      <w:r w:rsidRPr="00052040">
        <w:rPr>
          <w:rFonts w:ascii="Verdana" w:hAnsi="Verdana" w:cs="Verdana"/>
          <w:b/>
          <w:color w:val="000000"/>
          <w:sz w:val="20"/>
          <w:szCs w:val="20"/>
        </w:rPr>
        <w:t>Le marché de la publicité à la performance connait une forte croissance</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Au côté du branding, le marché de la publicité à la performance est très dynamique. Sa part dans le display total a progressé de 5 points par rapport au premier semestre 2010 et atteint 27%. Cette dynamique s’explique notamment par une croissance de l’achat d’espace sur les réseaux sociaux et sur les Ad Networks qui privilégient une commercialisation à la performance. L’exigence accrue en matière de taux de conversion amène les annonceurs à privilégier des modèles d’achat au contact qualifié ou à la vente générée plutôt qu’au clic.</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sz w:val="20"/>
          <w:szCs w:val="20"/>
        </w:rPr>
      </w:pPr>
      <w:r w:rsidRPr="00052040">
        <w:rPr>
          <w:rFonts w:ascii="Verdana" w:hAnsi="Verdana" w:cs="Verdana"/>
          <w:b/>
          <w:color w:val="000000"/>
          <w:sz w:val="20"/>
          <w:szCs w:val="20"/>
        </w:rPr>
        <w:t>Les annonceurs s’appuient de plus en plus sur les réseaux sociaux pour leur communication en ligne</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Au premier semestre 2011, les annonceurs continuent à investir et tester de nouvelles opportunités sur leur dispositif de publicité sur les réseaux sociaux : </w:t>
      </w:r>
    </w:p>
    <w:p w:rsidR="00926FA4" w:rsidRPr="00052040" w:rsidRDefault="00926FA4" w:rsidP="00926FA4">
      <w:pPr>
        <w:numPr>
          <w:ilvl w:val="0"/>
          <w:numId w:val="9"/>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Investissements croissants des marques en display sur les réseaux sociaux</w:t>
      </w:r>
    </w:p>
    <w:p w:rsidR="00926FA4" w:rsidRPr="00052040" w:rsidRDefault="00926FA4" w:rsidP="00926FA4">
      <w:pPr>
        <w:numPr>
          <w:ilvl w:val="0"/>
          <w:numId w:val="9"/>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Sponsoring et animation de communautés sur les sites médias</w:t>
      </w:r>
    </w:p>
    <w:p w:rsidR="00926FA4" w:rsidRPr="00052040" w:rsidRDefault="00926FA4" w:rsidP="00926FA4">
      <w:pPr>
        <w:numPr>
          <w:ilvl w:val="0"/>
          <w:numId w:val="9"/>
        </w:num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Implémentation de fonctionnalités de partage dans la communication des marques (sites et bannières)</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sz w:val="20"/>
          <w:szCs w:val="20"/>
        </w:rPr>
      </w:pPr>
      <w:r w:rsidRPr="00052040">
        <w:rPr>
          <w:rFonts w:ascii="Verdana" w:hAnsi="Verdana" w:cs="Verdana"/>
          <w:b/>
          <w:color w:val="000000"/>
          <w:sz w:val="20"/>
          <w:szCs w:val="20"/>
        </w:rPr>
        <w:t>La publicité mobile accélère sa croissance mais ce média reste sous-utilisé au regard des usages qu’il porte</w:t>
      </w:r>
    </w:p>
    <w:p w:rsidR="00926FA4" w:rsidRPr="00052040" w:rsidRDefault="00926FA4" w:rsidP="00926FA4">
      <w:pPr>
        <w:autoSpaceDE w:val="0"/>
        <w:autoSpaceDN w:val="0"/>
        <w:adjustRightInd w:val="0"/>
        <w:spacing w:after="0" w:line="240" w:lineRule="auto"/>
        <w:ind w:left="720"/>
        <w:jc w:val="both"/>
        <w:rPr>
          <w:rFonts w:ascii="Verdana" w:hAnsi="Verdana" w:cs="Verdana"/>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La croissance continue des taux d’équipement en smartphones et le développement des usages ont entraîné un mouvement des annonceurs traditionnels vers ce canal. Plusieurs d’entre eux commencent à investir de manière récurrente (encore essentiellement sur les formats display).</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Parallèlement, l’offre proposée par les acteurs du marché (opérateurs, régies traditionnelles et spécialisées, networks) s’est enrichie de nouveaux formats plus attractifs (vidéo, expand, travel,…) et de nouveaux modes de commercialisation (offres couplées web+mobile, géolocalisation…).</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Cependant, le niveau des investissements sur ce canal reste faible au regard de ses usages</w:t>
      </w:r>
      <w:r w:rsidRPr="00052040">
        <w:rPr>
          <w:rFonts w:ascii="Verdana" w:hAnsi="Verdana" w:cs="Verdana"/>
          <w:b/>
          <w:bCs/>
          <w:color w:val="000000"/>
          <w:sz w:val="20"/>
          <w:szCs w:val="20"/>
        </w:rPr>
        <w:t xml:space="preserve"> </w:t>
      </w:r>
      <w:r w:rsidRPr="00052040">
        <w:rPr>
          <w:rFonts w:ascii="Verdana" w:hAnsi="Verdana" w:cs="Verdana"/>
          <w:color w:val="000000"/>
          <w:sz w:val="20"/>
          <w:szCs w:val="20"/>
        </w:rPr>
        <w:t xml:space="preserve">(16 millions de mobinautes au T1 2011, +27% par rapport au </w:t>
      </w:r>
      <w:r>
        <w:rPr>
          <w:rFonts w:ascii="Verdana" w:hAnsi="Verdana" w:cs="Verdana"/>
          <w:color w:val="000000"/>
          <w:sz w:val="20"/>
          <w:szCs w:val="20"/>
        </w:rPr>
        <w:t xml:space="preserve">premier trimestre </w:t>
      </w:r>
      <w:r w:rsidRPr="00052040">
        <w:rPr>
          <w:rFonts w:ascii="Verdana" w:hAnsi="Verdana" w:cs="Verdana"/>
          <w:color w:val="000000"/>
          <w:sz w:val="20"/>
          <w:szCs w:val="20"/>
        </w:rPr>
        <w:t>2010).</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numPr>
          <w:ilvl w:val="0"/>
          <w:numId w:val="11"/>
        </w:numPr>
        <w:autoSpaceDE w:val="0"/>
        <w:autoSpaceDN w:val="0"/>
        <w:adjustRightInd w:val="0"/>
        <w:spacing w:after="0" w:line="240" w:lineRule="auto"/>
        <w:jc w:val="both"/>
        <w:rPr>
          <w:rFonts w:ascii="Verdana" w:hAnsi="Verdana" w:cs="Verdana"/>
          <w:sz w:val="20"/>
          <w:szCs w:val="20"/>
        </w:rPr>
      </w:pPr>
      <w:r w:rsidRPr="00052040">
        <w:rPr>
          <w:rFonts w:ascii="Verdana" w:hAnsi="Verdana" w:cs="Verdana"/>
          <w:b/>
          <w:color w:val="000000"/>
          <w:sz w:val="20"/>
          <w:szCs w:val="20"/>
        </w:rPr>
        <w:t>Les annonceurs locaux investissent de plus en plus sur internet</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Les investissements publicitaires des annonceurs locaux atteignent 483 millions</w:t>
      </w:r>
      <w:r>
        <w:rPr>
          <w:rFonts w:ascii="Verdana" w:hAnsi="Verdana" w:cs="Verdana"/>
          <w:color w:val="000000"/>
          <w:sz w:val="20"/>
          <w:szCs w:val="20"/>
        </w:rPr>
        <w:t xml:space="preserve"> </w:t>
      </w:r>
      <w:r w:rsidRPr="00052040">
        <w:rPr>
          <w:rFonts w:ascii="Verdana" w:hAnsi="Verdana" w:cs="Verdana"/>
          <w:color w:val="000000"/>
          <w:sz w:val="20"/>
          <w:szCs w:val="20"/>
        </w:rPr>
        <w:t xml:space="preserve">d’euros au premier semestre 2011. </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L’engouement confirmé pour les offres promotionnelles de type Groupon et l’utilisation des nouvelles offres de couponing et de publicité contextuelle locale ont dynamisé le marché ce semestre.</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u w:val="single"/>
        </w:rPr>
      </w:pPr>
      <w:r w:rsidRPr="00052040">
        <w:rPr>
          <w:rFonts w:ascii="Verdana" w:hAnsi="Verdana" w:cs="Verdana"/>
          <w:b/>
          <w:color w:val="000000"/>
          <w:sz w:val="20"/>
          <w:szCs w:val="20"/>
          <w:u w:val="single"/>
        </w:rPr>
        <w:t>Perspectives pour le second semestre 2011</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CF13BD"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i/>
          <w:color w:val="000000"/>
          <w:sz w:val="20"/>
          <w:szCs w:val="20"/>
        </w:rPr>
        <w:t xml:space="preserve">« Au second semestre, les principaux segments devraient conserver la dynamique observée au cours du 1er semestre. Le marché de la publicité en ligne devrait afficher une forte croissance du chiffre d’affaires annuel </w:t>
      </w:r>
      <w:r w:rsidRPr="0073646C">
        <w:rPr>
          <w:rFonts w:ascii="Verdana" w:hAnsi="Verdana" w:cs="Verdana"/>
          <w:i/>
          <w:color w:val="000000"/>
          <w:sz w:val="20"/>
          <w:szCs w:val="20"/>
        </w:rPr>
        <w:t>net de 12% (supérieure à celle de 2010) pour atteindre 2,5 milliards d’euros nets en 2011. La fin de l’année sera certainement animée par le développement de modèles de places de marché permettant l’automatisation des échanges sur le marché de la publicité display </w:t>
      </w:r>
      <w:r w:rsidRPr="00052040">
        <w:rPr>
          <w:rFonts w:ascii="Verdana" w:hAnsi="Verdana" w:cs="Verdana"/>
          <w:i/>
          <w:color w:val="000000"/>
          <w:sz w:val="20"/>
          <w:szCs w:val="20"/>
        </w:rPr>
        <w:t xml:space="preserve">» </w:t>
      </w:r>
      <w:r w:rsidRPr="00CF13BD">
        <w:rPr>
          <w:rFonts w:ascii="Verdana" w:hAnsi="Verdana" w:cs="Verdana"/>
          <w:color w:val="000000"/>
          <w:sz w:val="20"/>
          <w:szCs w:val="20"/>
        </w:rPr>
        <w:t>prévoit Luc Tran Thang, Président du SRI.</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r w:rsidRPr="00052040">
        <w:rPr>
          <w:rFonts w:ascii="Verdana" w:hAnsi="Verdana" w:cs="Verdana"/>
          <w:color w:val="000000"/>
          <w:sz w:val="20"/>
          <w:szCs w:val="20"/>
        </w:rPr>
        <w:t xml:space="preserve">Un focus </w:t>
      </w:r>
      <w:r w:rsidRPr="0075492A">
        <w:rPr>
          <w:rFonts w:ascii="Verdana" w:hAnsi="Verdana" w:cs="Verdana"/>
          <w:color w:val="000000"/>
          <w:sz w:val="20"/>
          <w:szCs w:val="20"/>
        </w:rPr>
        <w:t>sur les places de marché sera</w:t>
      </w:r>
      <w:r w:rsidRPr="00052040">
        <w:rPr>
          <w:rFonts w:ascii="Verdana" w:hAnsi="Verdana" w:cs="Verdana"/>
          <w:color w:val="000000"/>
          <w:sz w:val="20"/>
          <w:szCs w:val="20"/>
        </w:rPr>
        <w:t xml:space="preserve"> d’ailleurs proposé lors de l’édition annuelle de l’Observatoire de l’ePub SRI en collaboration avec Capgemini Consulting.</w:t>
      </w: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Default="00926FA4" w:rsidP="00926FA4">
      <w:pPr>
        <w:autoSpaceDE w:val="0"/>
        <w:autoSpaceDN w:val="0"/>
        <w:adjustRightInd w:val="0"/>
        <w:spacing w:after="0" w:line="240" w:lineRule="auto"/>
        <w:jc w:val="both"/>
        <w:rPr>
          <w:rFonts w:ascii="Verdana" w:hAnsi="Verdana" w:cs="Verdana"/>
          <w:color w:val="000000"/>
          <w:sz w:val="20"/>
          <w:szCs w:val="20"/>
        </w:rPr>
      </w:pPr>
    </w:p>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rPr>
      </w:pPr>
    </w:p>
    <w:tbl>
      <w:tblPr>
        <w:tblW w:w="9560" w:type="dxa"/>
        <w:tblInd w:w="-232" w:type="dxa"/>
        <w:tblLayout w:type="fixed"/>
        <w:tblLook w:val="00BF"/>
      </w:tblPr>
      <w:tblGrid>
        <w:gridCol w:w="4696"/>
        <w:gridCol w:w="4864"/>
      </w:tblGrid>
      <w:tr w:rsidR="00926FA4" w:rsidRPr="00052040">
        <w:tc>
          <w:tcPr>
            <w:tcW w:w="9560" w:type="dxa"/>
            <w:gridSpan w:val="2"/>
            <w:tcBorders>
              <w:top w:val="nil"/>
            </w:tcBorders>
          </w:tcPr>
          <w:p w:rsidR="00926FA4" w:rsidRPr="00052040" w:rsidRDefault="00926FA4" w:rsidP="00926FA4">
            <w:pPr>
              <w:autoSpaceDE w:val="0"/>
              <w:autoSpaceDN w:val="0"/>
              <w:adjustRightInd w:val="0"/>
              <w:spacing w:after="0" w:line="240" w:lineRule="auto"/>
              <w:ind w:left="232"/>
              <w:jc w:val="both"/>
              <w:rPr>
                <w:rFonts w:ascii="Verdana" w:hAnsi="Verdana" w:cs="Verdana"/>
                <w:color w:val="000000"/>
                <w:sz w:val="20"/>
                <w:szCs w:val="20"/>
              </w:rPr>
            </w:pPr>
          </w:p>
          <w:p w:rsidR="00926FA4" w:rsidRPr="00052040" w:rsidRDefault="00926FA4" w:rsidP="00926FA4">
            <w:pPr>
              <w:ind w:left="232"/>
              <w:jc w:val="both"/>
              <w:rPr>
                <w:rFonts w:ascii="Verdana" w:hAnsi="Verdana"/>
                <w:b/>
                <w:bCs/>
                <w:sz w:val="20"/>
                <w:szCs w:val="16"/>
              </w:rPr>
            </w:pPr>
          </w:p>
          <w:p w:rsidR="00926FA4" w:rsidRPr="00052040" w:rsidRDefault="00926FA4" w:rsidP="00926FA4">
            <w:pPr>
              <w:ind w:left="232"/>
              <w:jc w:val="both"/>
              <w:rPr>
                <w:rFonts w:ascii="Verdana" w:hAnsi="Verdana"/>
                <w:b/>
                <w:bCs/>
                <w:sz w:val="20"/>
                <w:szCs w:val="16"/>
              </w:rPr>
            </w:pPr>
          </w:p>
          <w:p w:rsidR="00926FA4" w:rsidRPr="00052040" w:rsidRDefault="00926FA4" w:rsidP="00926FA4">
            <w:pPr>
              <w:pBdr>
                <w:top w:val="single" w:sz="4" w:space="3" w:color="auto"/>
              </w:pBdr>
              <w:jc w:val="both"/>
              <w:rPr>
                <w:rFonts w:ascii="Verdana" w:hAnsi="Verdana"/>
                <w:b/>
                <w:sz w:val="20"/>
                <w:szCs w:val="20"/>
              </w:rPr>
            </w:pPr>
            <w:r w:rsidRPr="00052040">
              <w:rPr>
                <w:rFonts w:ascii="Verdana" w:hAnsi="Verdana"/>
                <w:b/>
                <w:sz w:val="20"/>
                <w:szCs w:val="20"/>
              </w:rPr>
              <w:lastRenderedPageBreak/>
              <w:t>A propos du SRI</w:t>
            </w:r>
          </w:p>
          <w:p w:rsidR="00926FA4" w:rsidRPr="00052040" w:rsidRDefault="00926FA4" w:rsidP="00926FA4">
            <w:pPr>
              <w:autoSpaceDE w:val="0"/>
              <w:autoSpaceDN w:val="0"/>
              <w:adjustRightInd w:val="0"/>
              <w:jc w:val="both"/>
              <w:rPr>
                <w:rFonts w:ascii="Verdana" w:hAnsi="Verdana"/>
                <w:sz w:val="20"/>
                <w:szCs w:val="20"/>
              </w:rPr>
            </w:pPr>
            <w:r w:rsidRPr="00052040">
              <w:rPr>
                <w:rFonts w:ascii="Verdana" w:hAnsi="Verdana"/>
                <w:sz w:val="20"/>
                <w:szCs w:val="20"/>
              </w:rPr>
              <w:t>Le Syndicat des Régies Internet (SRI) a été créé en juillet 2003 à l'initiative des principales régies publicitaires françaises afin de promouvoir et développer le média Internet en France.</w:t>
            </w:r>
          </w:p>
          <w:p w:rsidR="00926FA4" w:rsidRPr="00052040" w:rsidRDefault="00926FA4" w:rsidP="00926FA4">
            <w:pPr>
              <w:autoSpaceDE w:val="0"/>
              <w:autoSpaceDN w:val="0"/>
              <w:adjustRightInd w:val="0"/>
              <w:jc w:val="both"/>
              <w:rPr>
                <w:rFonts w:ascii="Verdana" w:hAnsi="Verdana"/>
                <w:sz w:val="20"/>
                <w:szCs w:val="20"/>
              </w:rPr>
            </w:pPr>
            <w:r w:rsidRPr="00052040">
              <w:rPr>
                <w:rFonts w:ascii="Verdana" w:hAnsi="Verdana"/>
                <w:sz w:val="20"/>
                <w:szCs w:val="20"/>
              </w:rPr>
              <w:t>La démarche du SRI : soutenir les investissements et le développement du média Internet, valoriser les spécificités et la compétitivité du média,  faciliter l'accès au média Internet par une professionnalisation et une simplification des offres, exploiter la créativité du média, et assurer la représentativité du Syndicat auprès de l’ensemble des acteurs de la publicité interactive.</w:t>
            </w:r>
          </w:p>
          <w:p w:rsidR="00926FA4" w:rsidRPr="00052040" w:rsidRDefault="00926FA4" w:rsidP="00926FA4">
            <w:pPr>
              <w:autoSpaceDE w:val="0"/>
              <w:autoSpaceDN w:val="0"/>
              <w:adjustRightInd w:val="0"/>
              <w:jc w:val="both"/>
              <w:rPr>
                <w:rFonts w:ascii="Verdana" w:hAnsi="Verdana"/>
                <w:sz w:val="20"/>
                <w:szCs w:val="20"/>
              </w:rPr>
            </w:pPr>
            <w:r w:rsidRPr="00052040">
              <w:rPr>
                <w:rFonts w:ascii="Verdana" w:hAnsi="Verdana"/>
                <w:sz w:val="20"/>
                <w:szCs w:val="20"/>
              </w:rPr>
              <w:t xml:space="preserve">24/7 Real Media, 3W Régie, AlloCiné, Amaury Médias, Au Féminin, CCM Benchmark Advertising, Dailymotion Avdertising, Express Roularta Services, Figaro Medias, France Télévisions Publicité, HI-Média, Horyzon Média, I-Régie, Lagardère Active Publicité, M6 Publicité Digital, Microsoft Advertising France, Orange Advertising Network, Prisma Media, Régie Obs, SFR Régie, Specific Media, Springbird, TF1 Publicité,  Weborama et Yahoo! France sont membres du SRI. </w:t>
            </w:r>
          </w:p>
          <w:p w:rsidR="00926FA4" w:rsidRPr="00052040" w:rsidRDefault="00926FA4" w:rsidP="00926FA4">
            <w:pPr>
              <w:autoSpaceDE w:val="0"/>
              <w:autoSpaceDN w:val="0"/>
              <w:adjustRightInd w:val="0"/>
              <w:jc w:val="both"/>
              <w:rPr>
                <w:rFonts w:ascii="Verdana" w:hAnsi="Verdana"/>
                <w:sz w:val="20"/>
                <w:szCs w:val="20"/>
              </w:rPr>
            </w:pPr>
            <w:r w:rsidRPr="00052040">
              <w:rPr>
                <w:rFonts w:ascii="Verdana" w:hAnsi="Verdana"/>
                <w:sz w:val="20"/>
                <w:szCs w:val="20"/>
              </w:rPr>
              <w:t>Le président du SRI est Luc Tran Thang, VP Orange Advertising Network. L’éq</w:t>
            </w:r>
            <w:r>
              <w:rPr>
                <w:rFonts w:ascii="Verdana" w:hAnsi="Verdana"/>
                <w:sz w:val="20"/>
                <w:szCs w:val="20"/>
              </w:rPr>
              <w:t xml:space="preserve">uipe du SRI se compose de Marie </w:t>
            </w:r>
            <w:r w:rsidRPr="00052040">
              <w:rPr>
                <w:rFonts w:ascii="Verdana" w:hAnsi="Verdana"/>
                <w:sz w:val="20"/>
                <w:szCs w:val="20"/>
              </w:rPr>
              <w:t xml:space="preserve">Delamarche, directrice générale, Myriam de Chassey-Waquet, responsable communication et RP, et Anne-Sophie Demay, assistante déléguée. </w:t>
            </w:r>
          </w:p>
          <w:p w:rsidR="00926FA4" w:rsidRPr="00052040" w:rsidRDefault="00926FA4" w:rsidP="00926FA4">
            <w:pPr>
              <w:autoSpaceDE w:val="0"/>
              <w:autoSpaceDN w:val="0"/>
              <w:adjustRightInd w:val="0"/>
              <w:jc w:val="both"/>
              <w:rPr>
                <w:rFonts w:ascii="Verdana" w:hAnsi="Verdana"/>
                <w:b/>
                <w:sz w:val="20"/>
                <w:szCs w:val="20"/>
              </w:rPr>
            </w:pPr>
            <w:r w:rsidRPr="00052040">
              <w:rPr>
                <w:rFonts w:ascii="Verdana" w:hAnsi="Verdana" w:cs="Verdana"/>
                <w:color w:val="000000"/>
                <w:sz w:val="20"/>
                <w:szCs w:val="16"/>
              </w:rPr>
              <w:t>Plus d’informations sur </w:t>
            </w:r>
            <w:r w:rsidRPr="00052040">
              <w:rPr>
                <w:rFonts w:ascii="Verdana" w:hAnsi="Verdana"/>
                <w:b/>
                <w:sz w:val="20"/>
                <w:szCs w:val="20"/>
              </w:rPr>
              <w:t xml:space="preserve">: </w:t>
            </w:r>
            <w:hyperlink r:id="rId10" w:history="1">
              <w:r w:rsidRPr="00052040">
                <w:rPr>
                  <w:rStyle w:val="Hyperlink"/>
                  <w:rFonts w:ascii="Verdana" w:hAnsi="Verdana"/>
                  <w:b w:val="0"/>
                  <w:sz w:val="20"/>
                  <w:szCs w:val="20"/>
                </w:rPr>
                <w:t>www.sri-france.org</w:t>
              </w:r>
            </w:hyperlink>
            <w:r w:rsidRPr="00052040">
              <w:rPr>
                <w:rFonts w:ascii="Verdana" w:hAnsi="Verdana"/>
                <w:b/>
                <w:sz w:val="20"/>
                <w:szCs w:val="20"/>
              </w:rPr>
              <w:t xml:space="preserve"> </w:t>
            </w:r>
          </w:p>
          <w:p w:rsidR="00926FA4" w:rsidRPr="00052040" w:rsidRDefault="00926FA4" w:rsidP="00926FA4">
            <w:pPr>
              <w:rPr>
                <w:rFonts w:ascii="Verdana" w:hAnsi="Verdana"/>
                <w:b/>
                <w:sz w:val="20"/>
              </w:rPr>
            </w:pPr>
            <w:r w:rsidRPr="00052040">
              <w:rPr>
                <w:rFonts w:ascii="Verdana" w:hAnsi="Verdana"/>
                <w:b/>
                <w:sz w:val="20"/>
              </w:rPr>
              <w:t xml:space="preserve">A propos de Capgemini </w:t>
            </w:r>
          </w:p>
          <w:p w:rsidR="00926FA4" w:rsidRPr="00052040" w:rsidRDefault="00926FA4" w:rsidP="00926FA4">
            <w:pPr>
              <w:jc w:val="both"/>
              <w:rPr>
                <w:rFonts w:ascii="Verdana" w:hAnsi="Verdana"/>
                <w:sz w:val="20"/>
                <w:szCs w:val="16"/>
              </w:rPr>
            </w:pPr>
            <w:r w:rsidRPr="00052040">
              <w:rPr>
                <w:rFonts w:ascii="Verdana" w:hAnsi="Verdana"/>
                <w:sz w:val="20"/>
                <w:szCs w:val="16"/>
              </w:rPr>
              <w:t>Fort de 112 000 collaborateurs et présent dans 40 pays, Capgemini est l’un des leaders mondiaux du conseil, des services informatiques et de l’infogérance. Le Groupe a réalisé en 2010 un chiffre d’affaires de 8,7 milliards d’euros.</w:t>
            </w:r>
          </w:p>
          <w:p w:rsidR="00926FA4" w:rsidRPr="00052040" w:rsidRDefault="00926FA4" w:rsidP="00926FA4">
            <w:pPr>
              <w:jc w:val="both"/>
              <w:rPr>
                <w:rFonts w:ascii="Verdana" w:hAnsi="Verdana"/>
                <w:sz w:val="20"/>
                <w:szCs w:val="16"/>
              </w:rPr>
            </w:pPr>
            <w:r w:rsidRPr="00052040">
              <w:rPr>
                <w:rFonts w:ascii="Verdana" w:hAnsi="Verdana"/>
                <w:sz w:val="20"/>
                <w:szCs w:val="16"/>
              </w:rPr>
              <w:t>Avec ses clients, Capgemini conçoit et met en œuvre les solutions business et technologiques qui correspondent à leurs besoins et leurs apportent les résultats auxquels ils aspirent.</w:t>
            </w:r>
          </w:p>
          <w:p w:rsidR="00926FA4" w:rsidRPr="00052040" w:rsidRDefault="00926FA4" w:rsidP="00926FA4">
            <w:pPr>
              <w:jc w:val="both"/>
              <w:rPr>
                <w:rFonts w:ascii="Verdana" w:hAnsi="Verdana"/>
                <w:sz w:val="20"/>
                <w:szCs w:val="16"/>
              </w:rPr>
            </w:pPr>
            <w:r w:rsidRPr="00052040">
              <w:rPr>
                <w:rFonts w:ascii="Verdana" w:hAnsi="Verdana"/>
                <w:sz w:val="20"/>
                <w:szCs w:val="16"/>
              </w:rPr>
              <w:t xml:space="preserve">Profondément multiculturel, Capgemini revendique un style de travail qui lui est propre, la « Collaborative Business ExperienceTM », et s’appuie sur un mode de production mondialisé, le « Rightshore® ». </w:t>
            </w:r>
          </w:p>
          <w:p w:rsidR="00926FA4" w:rsidRPr="00052040" w:rsidRDefault="00926FA4" w:rsidP="00926FA4">
            <w:pPr>
              <w:jc w:val="both"/>
              <w:rPr>
                <w:rFonts w:ascii="Verdana" w:hAnsi="Verdana"/>
                <w:sz w:val="20"/>
                <w:szCs w:val="16"/>
              </w:rPr>
            </w:pPr>
            <w:r w:rsidRPr="00052040">
              <w:rPr>
                <w:rFonts w:ascii="Verdana" w:hAnsi="Verdana"/>
                <w:sz w:val="20"/>
                <w:szCs w:val="16"/>
              </w:rPr>
              <w:t xml:space="preserve">Plus d’informations sur : </w:t>
            </w:r>
            <w:hyperlink r:id="rId11" w:history="1">
              <w:r w:rsidRPr="00052040">
                <w:rPr>
                  <w:rFonts w:ascii="Verdana" w:hAnsi="Verdana"/>
                  <w:bCs/>
                  <w:sz w:val="20"/>
                  <w:szCs w:val="16"/>
                </w:rPr>
                <w:t>www.capgemini.com</w:t>
              </w:r>
            </w:hyperlink>
            <w:r w:rsidRPr="00052040">
              <w:rPr>
                <w:rFonts w:ascii="Verdana" w:hAnsi="Verdana"/>
                <w:sz w:val="20"/>
                <w:szCs w:val="16"/>
              </w:rPr>
              <w:t xml:space="preserve"> </w:t>
            </w:r>
          </w:p>
          <w:p w:rsidR="00926FA4" w:rsidRPr="00052040" w:rsidRDefault="00926FA4" w:rsidP="00926FA4">
            <w:pPr>
              <w:rPr>
                <w:rFonts w:ascii="Verdana" w:hAnsi="Verdana"/>
                <w:i/>
                <w:sz w:val="20"/>
                <w:szCs w:val="20"/>
              </w:rPr>
            </w:pPr>
            <w:r w:rsidRPr="00052040">
              <w:rPr>
                <w:rFonts w:ascii="Verdana" w:hAnsi="Verdana"/>
                <w:bCs/>
                <w:i/>
                <w:iCs/>
                <w:sz w:val="20"/>
                <w:szCs w:val="20"/>
              </w:rPr>
              <w:t>Rightshore</w:t>
            </w:r>
            <w:r w:rsidRPr="00052040">
              <w:rPr>
                <w:rFonts w:ascii="Verdana" w:hAnsi="Verdana"/>
                <w:bCs/>
                <w:i/>
                <w:sz w:val="20"/>
                <w:szCs w:val="20"/>
                <w:vertAlign w:val="superscript"/>
              </w:rPr>
              <w:t>®</w:t>
            </w:r>
            <w:r w:rsidRPr="00052040">
              <w:rPr>
                <w:rFonts w:ascii="Verdana" w:hAnsi="Verdana"/>
                <w:bCs/>
                <w:i/>
                <w:sz w:val="20"/>
                <w:szCs w:val="20"/>
              </w:rPr>
              <w:t xml:space="preserve"> </w:t>
            </w:r>
            <w:r w:rsidRPr="00052040">
              <w:rPr>
                <w:rFonts w:ascii="Verdana" w:hAnsi="Verdana"/>
                <w:bCs/>
                <w:i/>
                <w:iCs/>
                <w:sz w:val="20"/>
                <w:szCs w:val="20"/>
              </w:rPr>
              <w:t>est une marque du groupe Capgemini</w:t>
            </w:r>
          </w:p>
          <w:p w:rsidR="00CF13BD" w:rsidRPr="00CF13BD" w:rsidRDefault="00CF13BD" w:rsidP="00926FA4">
            <w:pPr>
              <w:jc w:val="both"/>
              <w:rPr>
                <w:rFonts w:ascii="Verdana" w:hAnsi="Verdana"/>
                <w:b/>
                <w:snapToGrid w:val="0"/>
                <w:sz w:val="20"/>
                <w:szCs w:val="16"/>
              </w:rPr>
            </w:pPr>
            <w:r w:rsidRPr="00CF13BD">
              <w:rPr>
                <w:rFonts w:ascii="Verdana" w:hAnsi="Verdana"/>
                <w:b/>
                <w:snapToGrid w:val="0"/>
                <w:sz w:val="20"/>
                <w:szCs w:val="16"/>
              </w:rPr>
              <w:t>A propos de Capgemini Consulting</w:t>
            </w:r>
          </w:p>
          <w:p w:rsidR="00926FA4" w:rsidRPr="00052040" w:rsidRDefault="00926FA4" w:rsidP="00926FA4">
            <w:pPr>
              <w:jc w:val="both"/>
              <w:rPr>
                <w:rFonts w:ascii="Verdana" w:hAnsi="Verdana"/>
                <w:color w:val="000000"/>
                <w:sz w:val="20"/>
                <w:szCs w:val="16"/>
              </w:rPr>
            </w:pPr>
            <w:r w:rsidRPr="00052040">
              <w:rPr>
                <w:rFonts w:ascii="Verdana" w:hAnsi="Verdana"/>
                <w:snapToGrid w:val="0"/>
                <w:sz w:val="20"/>
                <w:szCs w:val="16"/>
              </w:rPr>
              <w:t xml:space="preserve">Marque de conseil en stratégie et transformation du Groupe Capgemini, </w:t>
            </w:r>
            <w:r w:rsidRPr="00CF13BD">
              <w:rPr>
                <w:rFonts w:ascii="Verdana" w:hAnsi="Verdana"/>
                <w:bCs/>
                <w:snapToGrid w:val="0"/>
                <w:sz w:val="20"/>
                <w:szCs w:val="16"/>
              </w:rPr>
              <w:t>Capgemini Consulting</w:t>
            </w:r>
            <w:r w:rsidRPr="00052040">
              <w:rPr>
                <w:rFonts w:ascii="Verdana" w:hAnsi="Verdana"/>
                <w:snapToGrid w:val="0"/>
                <w:sz w:val="20"/>
                <w:szCs w:val="16"/>
              </w:rPr>
              <w:t xml:space="preserve"> accompagne ses clients dans leurs projets de transformation en les aidants à concevoir et mettre en œuvre des stratégies innovantes au service de leur croissance et de leur compétitivité. Cette entité globale propose aux entreprises de l’ensemble des secteurs économiques une approche nouvelle qui conjugue l’utilisation de méthodes novatrices, le recours à la technologie et l’expertise de son réseau mondial de plus de 4 000 consultants.</w:t>
            </w:r>
            <w:r w:rsidRPr="00052040">
              <w:rPr>
                <w:rFonts w:ascii="Verdana" w:hAnsi="Verdana"/>
                <w:color w:val="000000"/>
                <w:sz w:val="20"/>
                <w:szCs w:val="16"/>
              </w:rPr>
              <w:t xml:space="preserve"> </w:t>
            </w:r>
          </w:p>
          <w:p w:rsidR="00926FA4" w:rsidRPr="00052040" w:rsidRDefault="00926FA4" w:rsidP="00926FA4">
            <w:pPr>
              <w:jc w:val="both"/>
              <w:rPr>
                <w:rFonts w:ascii="Verdana" w:hAnsi="Verdana"/>
                <w:color w:val="000000"/>
                <w:sz w:val="20"/>
                <w:szCs w:val="16"/>
              </w:rPr>
            </w:pPr>
            <w:r w:rsidRPr="00052040">
              <w:rPr>
                <w:rFonts w:ascii="Verdana" w:hAnsi="Verdana"/>
                <w:color w:val="000000"/>
                <w:sz w:val="20"/>
                <w:szCs w:val="16"/>
              </w:rPr>
              <w:t>Plus d'informations sur : www.capgeminiconsulting.fr</w:t>
            </w:r>
            <w:r>
              <w:rPr>
                <w:rFonts w:ascii="Verdana" w:hAnsi="Verdana"/>
                <w:color w:val="000000"/>
                <w:sz w:val="20"/>
                <w:szCs w:val="16"/>
              </w:rPr>
              <w:t xml:space="preserve"> </w:t>
            </w:r>
          </w:p>
          <w:p w:rsidR="00926FA4" w:rsidRPr="00052040" w:rsidRDefault="00926FA4" w:rsidP="00926FA4">
            <w:pPr>
              <w:rPr>
                <w:rFonts w:ascii="Verdana" w:hAnsi="Verdana"/>
                <w:i/>
                <w:sz w:val="20"/>
                <w:szCs w:val="16"/>
              </w:rPr>
            </w:pPr>
          </w:p>
          <w:p w:rsidR="00926FA4" w:rsidRPr="00052040" w:rsidRDefault="00926FA4" w:rsidP="00926FA4">
            <w:pPr>
              <w:jc w:val="both"/>
              <w:rPr>
                <w:rFonts w:ascii="Verdana" w:hAnsi="Verdana"/>
                <w:b/>
                <w:bCs/>
                <w:sz w:val="20"/>
                <w:szCs w:val="16"/>
              </w:rPr>
            </w:pPr>
            <w:r w:rsidRPr="00052040">
              <w:rPr>
                <w:rFonts w:ascii="Verdana" w:hAnsi="Verdana"/>
                <w:b/>
                <w:bCs/>
                <w:sz w:val="20"/>
                <w:szCs w:val="16"/>
              </w:rPr>
              <w:t>À propos de l’UDECAM</w:t>
            </w:r>
          </w:p>
          <w:p w:rsidR="00926FA4" w:rsidRPr="00052040" w:rsidRDefault="00926FA4" w:rsidP="00926FA4">
            <w:pPr>
              <w:autoSpaceDE w:val="0"/>
              <w:autoSpaceDN w:val="0"/>
              <w:adjustRightInd w:val="0"/>
              <w:jc w:val="both"/>
              <w:rPr>
                <w:rFonts w:ascii="Verdana" w:hAnsi="Verdana" w:cs="Tahoma"/>
                <w:sz w:val="20"/>
                <w:szCs w:val="16"/>
              </w:rPr>
            </w:pPr>
            <w:r w:rsidRPr="00052040">
              <w:rPr>
                <w:rFonts w:ascii="Verdana" w:hAnsi="Verdana" w:cs="Verdana"/>
                <w:color w:val="000000"/>
                <w:sz w:val="20"/>
                <w:szCs w:val="16"/>
              </w:rPr>
              <w:t xml:space="preserve">L’Udecam - Union des Entreprises de Conseil et d’Achat Medias - réunit les principales Agences medias du marché français : </w:t>
            </w:r>
            <w:r w:rsidRPr="00052040">
              <w:rPr>
                <w:rFonts w:ascii="Verdana" w:hAnsi="Verdana" w:cs="Tahoma"/>
                <w:sz w:val="20"/>
                <w:szCs w:val="16"/>
              </w:rPr>
              <w:t xml:space="preserve">Aegis Medias (Carat et Vizeum), Havas Medias (MPG et Euromedia), Mediabrands (Initiative et Universal), Mediacom, Mediaedge:cia, Media Keys, Mindshare, My Media, Oconnection, OMD, Poster Conseil, Re-mind et Vivaki (Zenithoptimedia, Starcom) </w:t>
            </w:r>
          </w:p>
          <w:p w:rsidR="00926FA4" w:rsidRPr="00052040" w:rsidRDefault="00926FA4" w:rsidP="00926FA4">
            <w:pPr>
              <w:autoSpaceDE w:val="0"/>
              <w:autoSpaceDN w:val="0"/>
              <w:adjustRightInd w:val="0"/>
              <w:jc w:val="both"/>
              <w:rPr>
                <w:rFonts w:ascii="Verdana" w:hAnsi="Verdana" w:cs="Verdana"/>
                <w:sz w:val="20"/>
                <w:szCs w:val="16"/>
              </w:rPr>
            </w:pPr>
            <w:r w:rsidRPr="00052040">
              <w:rPr>
                <w:rFonts w:ascii="Verdana" w:hAnsi="Verdana" w:cs="Verdana"/>
                <w:color w:val="000000"/>
                <w:sz w:val="20"/>
                <w:szCs w:val="16"/>
              </w:rPr>
              <w:t xml:space="preserve">Depuis 1996, cette association est une instance de dialogue et de concertation avec les différents partenaires des médias et de la communication mais aussi entre les collaborateurs des Agences. </w:t>
            </w:r>
            <w:r w:rsidRPr="00052040">
              <w:rPr>
                <w:rFonts w:ascii="Verdana" w:hAnsi="Verdana" w:cs="Verdana"/>
                <w:sz w:val="20"/>
                <w:szCs w:val="16"/>
              </w:rPr>
              <w:t>Elle valorise  l’expertise media et hors-media, défend les intérêts collectifs de ses adhérents et les représente auprès de tous les acteurs du marché : pouvoirs publics, organismes professionnels et inter-professionnels, médias, annonceurs  et relais d’opinion.</w:t>
            </w:r>
          </w:p>
          <w:p w:rsidR="00926FA4" w:rsidRPr="00052040" w:rsidRDefault="00926FA4" w:rsidP="00926FA4">
            <w:pPr>
              <w:autoSpaceDE w:val="0"/>
              <w:autoSpaceDN w:val="0"/>
              <w:adjustRightInd w:val="0"/>
              <w:jc w:val="both"/>
              <w:rPr>
                <w:rFonts w:ascii="Verdana" w:hAnsi="Verdana" w:cs="Verdana"/>
                <w:color w:val="000000"/>
                <w:sz w:val="20"/>
                <w:szCs w:val="16"/>
              </w:rPr>
            </w:pPr>
            <w:r w:rsidRPr="00052040">
              <w:rPr>
                <w:rFonts w:ascii="Verdana" w:hAnsi="Verdana" w:cs="Verdana"/>
                <w:sz w:val="20"/>
                <w:szCs w:val="16"/>
              </w:rPr>
              <w:t>Aujourd’hui les Agences medias de l’Udecam rassemblent près de 4 000 collaborateurs et représentent près de 90% des investissements</w:t>
            </w:r>
            <w:r w:rsidRPr="00052040">
              <w:rPr>
                <w:rFonts w:ascii="Verdana" w:hAnsi="Verdana" w:cs="Verdana"/>
                <w:color w:val="000000"/>
                <w:sz w:val="20"/>
                <w:szCs w:val="16"/>
              </w:rPr>
              <w:t xml:space="preserve"> medias réalisés en France. </w:t>
            </w:r>
          </w:p>
          <w:p w:rsidR="00926FA4" w:rsidRPr="00052040" w:rsidRDefault="00926FA4" w:rsidP="00926FA4">
            <w:pPr>
              <w:jc w:val="both"/>
              <w:rPr>
                <w:rFonts w:ascii="Verdana" w:hAnsi="Verdana" w:cs="Verdana"/>
                <w:b/>
                <w:color w:val="000000"/>
                <w:sz w:val="20"/>
                <w:szCs w:val="16"/>
              </w:rPr>
            </w:pPr>
            <w:r w:rsidRPr="00052040">
              <w:rPr>
                <w:rFonts w:ascii="Verdana" w:hAnsi="Verdana" w:cs="Verdana"/>
                <w:color w:val="000000"/>
                <w:sz w:val="20"/>
                <w:szCs w:val="16"/>
              </w:rPr>
              <w:t xml:space="preserve">Plus d’informations sur : </w:t>
            </w:r>
            <w:hyperlink r:id="rId12" w:history="1">
              <w:r w:rsidRPr="00052040">
                <w:rPr>
                  <w:rFonts w:ascii="Verdana" w:hAnsi="Verdana" w:cs="Verdana"/>
                  <w:bCs/>
                  <w:color w:val="000000"/>
                  <w:sz w:val="20"/>
                  <w:szCs w:val="16"/>
                </w:rPr>
                <w:t>www.udeca</w:t>
              </w:r>
              <w:r w:rsidRPr="00052040">
                <w:rPr>
                  <w:rFonts w:ascii="Verdana" w:hAnsi="Verdana" w:cs="Verdana"/>
                  <w:bCs/>
                  <w:color w:val="000000"/>
                  <w:sz w:val="20"/>
                  <w:szCs w:val="16"/>
                </w:rPr>
                <w:t>m</w:t>
              </w:r>
              <w:r w:rsidRPr="00052040">
                <w:rPr>
                  <w:rFonts w:ascii="Verdana" w:hAnsi="Verdana" w:cs="Verdana"/>
                  <w:bCs/>
                  <w:color w:val="000000"/>
                  <w:sz w:val="20"/>
                  <w:szCs w:val="16"/>
                </w:rPr>
                <w:t>.fr</w:t>
              </w:r>
            </w:hyperlink>
            <w:r w:rsidRPr="00052040">
              <w:rPr>
                <w:rFonts w:ascii="Verdana" w:hAnsi="Verdana"/>
                <w:bCs/>
                <w:sz w:val="20"/>
                <w:u w:val="single"/>
              </w:rPr>
              <w:t xml:space="preserve"> </w:t>
            </w:r>
          </w:p>
          <w:p w:rsidR="00926FA4" w:rsidRPr="00052040" w:rsidRDefault="00926FA4" w:rsidP="00926FA4">
            <w:pPr>
              <w:autoSpaceDE w:val="0"/>
              <w:autoSpaceDN w:val="0"/>
              <w:adjustRightInd w:val="0"/>
              <w:jc w:val="both"/>
              <w:rPr>
                <w:rFonts w:ascii="Verdana" w:hAnsi="Verdana" w:cs="Verdana"/>
                <w:color w:val="000000"/>
                <w:sz w:val="20"/>
                <w:szCs w:val="16"/>
              </w:rPr>
            </w:pPr>
          </w:p>
        </w:tc>
      </w:tr>
      <w:tr w:rsidR="00926FA4" w:rsidRPr="00052040">
        <w:tc>
          <w:tcPr>
            <w:tcW w:w="4696" w:type="dxa"/>
          </w:tcPr>
          <w:p w:rsidR="00926FA4" w:rsidRPr="00052040" w:rsidRDefault="00926FA4" w:rsidP="00926FA4">
            <w:pPr>
              <w:spacing w:after="0"/>
              <w:jc w:val="both"/>
              <w:rPr>
                <w:rFonts w:ascii="Verdana" w:hAnsi="Verdana"/>
                <w:b/>
                <w:sz w:val="20"/>
                <w:szCs w:val="16"/>
              </w:rPr>
            </w:pPr>
          </w:p>
          <w:p w:rsidR="00926FA4" w:rsidRPr="00052040" w:rsidRDefault="00926FA4" w:rsidP="00926FA4">
            <w:pPr>
              <w:spacing w:after="0"/>
              <w:jc w:val="both"/>
              <w:rPr>
                <w:rFonts w:ascii="Verdana" w:hAnsi="Verdana"/>
                <w:b/>
                <w:sz w:val="20"/>
                <w:szCs w:val="16"/>
              </w:rPr>
            </w:pPr>
            <w:r w:rsidRPr="00052040">
              <w:rPr>
                <w:rFonts w:ascii="Verdana" w:hAnsi="Verdana"/>
                <w:b/>
                <w:sz w:val="20"/>
                <w:szCs w:val="16"/>
              </w:rPr>
              <w:t xml:space="preserve">Contacts SRI </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Myriam de Chasse</w:t>
            </w:r>
            <w:r>
              <w:rPr>
                <w:rFonts w:ascii="Verdana" w:hAnsi="Verdana"/>
                <w:i/>
                <w:sz w:val="20"/>
                <w:szCs w:val="16"/>
              </w:rPr>
              <w:t>y-Waquet</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Responsable Communication</w:t>
            </w:r>
          </w:p>
          <w:p w:rsidR="00926FA4" w:rsidRPr="00052040" w:rsidRDefault="00926FA4" w:rsidP="00926FA4">
            <w:pPr>
              <w:spacing w:after="0"/>
              <w:jc w:val="both"/>
              <w:rPr>
                <w:rFonts w:ascii="Verdana" w:hAnsi="Verdana"/>
                <w:i/>
                <w:sz w:val="20"/>
                <w:szCs w:val="16"/>
                <w:lang w:val="es-AR"/>
              </w:rPr>
            </w:pPr>
            <w:r w:rsidRPr="00052040">
              <w:rPr>
                <w:rFonts w:ascii="Verdana" w:hAnsi="Verdana"/>
                <w:i/>
                <w:sz w:val="20"/>
                <w:szCs w:val="16"/>
                <w:lang w:val="es-AR"/>
              </w:rPr>
              <w:t>Tel: +33 1 42 36 49 15</w:t>
            </w:r>
          </w:p>
          <w:p w:rsidR="00926FA4" w:rsidRPr="00052040" w:rsidRDefault="00926FA4" w:rsidP="00926FA4">
            <w:pPr>
              <w:spacing w:after="0"/>
              <w:jc w:val="both"/>
              <w:rPr>
                <w:rFonts w:ascii="Verdana" w:hAnsi="Verdana"/>
                <w:color w:val="0000FF"/>
                <w:sz w:val="20"/>
                <w:szCs w:val="16"/>
                <w:u w:val="single"/>
                <w:lang w:val="es-AR"/>
              </w:rPr>
            </w:pPr>
            <w:r w:rsidRPr="00052040">
              <w:rPr>
                <w:rFonts w:ascii="Verdana" w:hAnsi="Verdana" w:cs="Arial"/>
                <w:bCs/>
                <w:color w:val="0000FF"/>
                <w:sz w:val="20"/>
                <w:szCs w:val="16"/>
                <w:u w:val="single"/>
                <w:lang w:val="es-AR"/>
              </w:rPr>
              <w:t>m</w:t>
            </w:r>
            <w:r w:rsidRPr="00052040">
              <w:rPr>
                <w:rFonts w:ascii="Verdana" w:hAnsi="Verdana"/>
                <w:color w:val="0000FF"/>
                <w:sz w:val="20"/>
                <w:szCs w:val="16"/>
                <w:u w:val="single"/>
                <w:lang w:val="es-AR"/>
              </w:rPr>
              <w:t>dechassey@sri-france.org</w:t>
            </w:r>
          </w:p>
          <w:p w:rsidR="00926FA4" w:rsidRPr="00052040" w:rsidRDefault="00926FA4" w:rsidP="00926FA4">
            <w:pPr>
              <w:spacing w:after="0"/>
              <w:jc w:val="both"/>
              <w:rPr>
                <w:rFonts w:ascii="Verdana" w:hAnsi="Verdana"/>
                <w:sz w:val="20"/>
                <w:szCs w:val="16"/>
                <w:lang w:val="es-AR"/>
              </w:rPr>
            </w:pPr>
          </w:p>
          <w:p w:rsidR="00926FA4" w:rsidRPr="00052040" w:rsidRDefault="00926FA4" w:rsidP="00926FA4">
            <w:pPr>
              <w:spacing w:after="0"/>
              <w:jc w:val="both"/>
              <w:rPr>
                <w:rFonts w:ascii="Verdana" w:hAnsi="Verdana"/>
                <w:i/>
                <w:sz w:val="20"/>
                <w:szCs w:val="16"/>
                <w:lang w:val="es-AR"/>
              </w:rPr>
            </w:pPr>
            <w:r w:rsidRPr="00052040">
              <w:rPr>
                <w:rFonts w:ascii="Verdana" w:hAnsi="Verdana"/>
                <w:i/>
                <w:sz w:val="20"/>
                <w:szCs w:val="16"/>
                <w:lang w:val="es-AR"/>
              </w:rPr>
              <w:t>Marie Delamarche</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Directrice Générale</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Tel: +33 1 42 36 49 15</w:t>
            </w:r>
          </w:p>
          <w:p w:rsidR="00926FA4" w:rsidRPr="00052040" w:rsidRDefault="00926FA4" w:rsidP="00926FA4">
            <w:pPr>
              <w:spacing w:after="0"/>
              <w:jc w:val="both"/>
              <w:rPr>
                <w:rFonts w:ascii="Verdana" w:hAnsi="Verdana"/>
                <w:color w:val="0000FF"/>
                <w:sz w:val="20"/>
                <w:szCs w:val="16"/>
                <w:u w:val="single"/>
                <w:lang w:val="de-DE"/>
              </w:rPr>
            </w:pPr>
            <w:r w:rsidRPr="00052040">
              <w:rPr>
                <w:rFonts w:ascii="Verdana" w:hAnsi="Verdana"/>
                <w:color w:val="0000FF"/>
                <w:sz w:val="20"/>
                <w:szCs w:val="16"/>
                <w:u w:val="single"/>
                <w:lang w:val="de-DE"/>
              </w:rPr>
              <w:t>mdelamarche@sri-france.org</w:t>
            </w:r>
          </w:p>
          <w:p w:rsidR="00926FA4" w:rsidRPr="00052040" w:rsidRDefault="00926FA4" w:rsidP="00926FA4">
            <w:pPr>
              <w:spacing w:after="0"/>
              <w:jc w:val="both"/>
              <w:rPr>
                <w:rFonts w:ascii="Verdana" w:hAnsi="Verdana"/>
                <w:i/>
                <w:sz w:val="20"/>
                <w:szCs w:val="16"/>
                <w:lang w:val="de-DE"/>
              </w:rPr>
            </w:pPr>
          </w:p>
          <w:p w:rsidR="00926FA4" w:rsidRPr="001E6E14" w:rsidRDefault="00926FA4" w:rsidP="00926FA4">
            <w:pPr>
              <w:spacing w:after="0"/>
              <w:jc w:val="both"/>
              <w:rPr>
                <w:rFonts w:ascii="Verdana" w:hAnsi="Verdana"/>
                <w:b/>
                <w:sz w:val="20"/>
                <w:szCs w:val="16"/>
                <w:lang w:val="en-US"/>
              </w:rPr>
            </w:pPr>
            <w:r w:rsidRPr="001E6E14">
              <w:rPr>
                <w:rFonts w:ascii="Verdana" w:hAnsi="Verdana"/>
                <w:b/>
                <w:sz w:val="20"/>
                <w:szCs w:val="16"/>
                <w:lang w:val="en-US"/>
              </w:rPr>
              <w:t xml:space="preserve">Contact UDECAM </w:t>
            </w:r>
          </w:p>
          <w:p w:rsidR="00926FA4" w:rsidRPr="00052040" w:rsidRDefault="00926FA4" w:rsidP="00926FA4">
            <w:pPr>
              <w:spacing w:after="0"/>
              <w:jc w:val="both"/>
              <w:rPr>
                <w:rFonts w:ascii="Verdana" w:hAnsi="Verdana"/>
                <w:i/>
                <w:sz w:val="20"/>
                <w:szCs w:val="16"/>
                <w:lang w:val="de-DE"/>
              </w:rPr>
            </w:pPr>
            <w:r w:rsidRPr="00052040">
              <w:rPr>
                <w:rFonts w:ascii="Verdana" w:hAnsi="Verdana"/>
                <w:i/>
                <w:sz w:val="20"/>
                <w:szCs w:val="16"/>
                <w:lang w:val="de-DE"/>
              </w:rPr>
              <w:t>Françoise Chambre</w:t>
            </w:r>
          </w:p>
          <w:p w:rsidR="00926FA4" w:rsidRPr="00052040" w:rsidRDefault="00926FA4" w:rsidP="00926FA4">
            <w:pPr>
              <w:spacing w:after="0"/>
              <w:jc w:val="both"/>
              <w:rPr>
                <w:rFonts w:ascii="Verdana" w:hAnsi="Verdana"/>
                <w:i/>
                <w:sz w:val="20"/>
                <w:szCs w:val="16"/>
                <w:lang w:val="de-DE"/>
              </w:rPr>
            </w:pPr>
            <w:r w:rsidRPr="00052040">
              <w:rPr>
                <w:rFonts w:ascii="Verdana" w:hAnsi="Verdana"/>
                <w:i/>
                <w:sz w:val="20"/>
                <w:szCs w:val="16"/>
                <w:lang w:val="de-DE"/>
              </w:rPr>
              <w:t>Déléguée Générale</w:t>
            </w:r>
          </w:p>
          <w:p w:rsidR="00926FA4" w:rsidRPr="00052040" w:rsidRDefault="00926FA4" w:rsidP="00926FA4">
            <w:pPr>
              <w:spacing w:after="0"/>
              <w:jc w:val="both"/>
              <w:rPr>
                <w:rFonts w:ascii="Verdana" w:hAnsi="Verdana"/>
                <w:color w:val="0000FF"/>
                <w:sz w:val="20"/>
                <w:szCs w:val="16"/>
                <w:u w:val="single"/>
                <w:lang w:val="de-DE"/>
              </w:rPr>
            </w:pPr>
            <w:r w:rsidRPr="00052040">
              <w:rPr>
                <w:rFonts w:ascii="Verdana" w:hAnsi="Verdana"/>
                <w:color w:val="0000FF"/>
                <w:sz w:val="20"/>
                <w:szCs w:val="16"/>
                <w:u w:val="single"/>
                <w:lang w:val="de-DE"/>
              </w:rPr>
              <w:t>francoise.chambre@udecam.fr</w:t>
            </w:r>
          </w:p>
          <w:p w:rsidR="00926FA4" w:rsidRPr="001E6E14" w:rsidRDefault="00926FA4" w:rsidP="00926FA4">
            <w:pPr>
              <w:spacing w:after="0"/>
              <w:jc w:val="both"/>
              <w:rPr>
                <w:rFonts w:ascii="Verdana" w:hAnsi="Verdana"/>
                <w:b/>
                <w:sz w:val="20"/>
                <w:szCs w:val="16"/>
              </w:rPr>
            </w:pPr>
          </w:p>
          <w:p w:rsidR="00926FA4" w:rsidRPr="00052040" w:rsidRDefault="00926FA4" w:rsidP="00926FA4">
            <w:pPr>
              <w:spacing w:after="0"/>
              <w:jc w:val="both"/>
              <w:rPr>
                <w:rFonts w:ascii="Verdana" w:hAnsi="Verdana"/>
                <w:i/>
                <w:sz w:val="20"/>
                <w:szCs w:val="16"/>
                <w:lang w:val="de-DE"/>
              </w:rPr>
            </w:pPr>
          </w:p>
        </w:tc>
        <w:tc>
          <w:tcPr>
            <w:tcW w:w="4864" w:type="dxa"/>
          </w:tcPr>
          <w:p w:rsidR="00926FA4" w:rsidRPr="00052040" w:rsidRDefault="00926FA4" w:rsidP="00926FA4">
            <w:pPr>
              <w:spacing w:after="0"/>
              <w:jc w:val="both"/>
              <w:rPr>
                <w:rFonts w:ascii="Verdana" w:hAnsi="Verdana"/>
                <w:b/>
                <w:sz w:val="20"/>
                <w:szCs w:val="16"/>
              </w:rPr>
            </w:pPr>
          </w:p>
          <w:p w:rsidR="00926FA4" w:rsidRPr="00052040" w:rsidRDefault="00926FA4" w:rsidP="00926FA4">
            <w:pPr>
              <w:spacing w:after="0"/>
              <w:jc w:val="both"/>
              <w:rPr>
                <w:rFonts w:ascii="Verdana" w:hAnsi="Verdana"/>
                <w:b/>
                <w:sz w:val="20"/>
                <w:szCs w:val="16"/>
              </w:rPr>
            </w:pPr>
            <w:r w:rsidRPr="00052040">
              <w:rPr>
                <w:rFonts w:ascii="Verdana" w:hAnsi="Verdana"/>
                <w:b/>
                <w:sz w:val="20"/>
                <w:szCs w:val="16"/>
              </w:rPr>
              <w:t>Contacts</w:t>
            </w:r>
            <w:r w:rsidRPr="00052040">
              <w:rPr>
                <w:rFonts w:ascii="Verdana" w:hAnsi="Verdana"/>
                <w:sz w:val="20"/>
                <w:szCs w:val="16"/>
              </w:rPr>
              <w:t xml:space="preserve"> </w:t>
            </w:r>
            <w:r>
              <w:rPr>
                <w:rFonts w:ascii="Verdana" w:hAnsi="Verdana"/>
                <w:b/>
                <w:sz w:val="20"/>
                <w:szCs w:val="16"/>
              </w:rPr>
              <w:t>presse Capgemini Consulting </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Bernadette Chatard</w:t>
            </w:r>
          </w:p>
          <w:p w:rsidR="00926FA4" w:rsidRPr="00052040" w:rsidRDefault="00926FA4" w:rsidP="00926FA4">
            <w:pPr>
              <w:spacing w:after="0"/>
              <w:jc w:val="both"/>
              <w:rPr>
                <w:rFonts w:ascii="Verdana" w:hAnsi="Verdana"/>
                <w:i/>
                <w:sz w:val="20"/>
                <w:szCs w:val="16"/>
              </w:rPr>
            </w:pPr>
            <w:r w:rsidRPr="00052040">
              <w:rPr>
                <w:rFonts w:ascii="Verdana" w:hAnsi="Verdana"/>
                <w:i/>
                <w:sz w:val="20"/>
                <w:szCs w:val="16"/>
              </w:rPr>
              <w:t>Responsable Communication</w:t>
            </w:r>
          </w:p>
          <w:p w:rsidR="00926FA4" w:rsidRPr="00052040" w:rsidRDefault="00926FA4" w:rsidP="00926FA4">
            <w:pPr>
              <w:spacing w:after="0"/>
              <w:jc w:val="both"/>
              <w:rPr>
                <w:rFonts w:ascii="Verdana" w:hAnsi="Verdana"/>
                <w:i/>
                <w:sz w:val="20"/>
                <w:szCs w:val="16"/>
                <w:lang w:val="de-DE"/>
              </w:rPr>
            </w:pPr>
            <w:r w:rsidRPr="00052040">
              <w:rPr>
                <w:rFonts w:ascii="Verdana" w:hAnsi="Verdana"/>
                <w:i/>
                <w:sz w:val="20"/>
                <w:szCs w:val="16"/>
                <w:lang w:val="de-DE"/>
              </w:rPr>
              <w:t>Tel.:+33 1 49 67 56 16</w:t>
            </w:r>
          </w:p>
          <w:p w:rsidR="00926FA4" w:rsidRPr="001268EE" w:rsidRDefault="00926FA4" w:rsidP="00926FA4">
            <w:pPr>
              <w:spacing w:after="0"/>
              <w:jc w:val="both"/>
              <w:rPr>
                <w:rFonts w:ascii="Verdana" w:hAnsi="Verdana"/>
                <w:b/>
                <w:color w:val="0000FF"/>
                <w:sz w:val="20"/>
                <w:szCs w:val="16"/>
                <w:u w:val="single"/>
                <w:lang w:val="de-DE"/>
              </w:rPr>
            </w:pPr>
            <w:hyperlink r:id="rId13" w:history="1">
              <w:r w:rsidRPr="001268EE">
                <w:rPr>
                  <w:rStyle w:val="Hyperlink"/>
                  <w:rFonts w:ascii="Verdana" w:hAnsi="Verdana" w:cs="Times New Roman"/>
                  <w:b w:val="0"/>
                  <w:sz w:val="20"/>
                  <w:szCs w:val="16"/>
                  <w:u w:val="single"/>
                  <w:lang w:val="de-DE"/>
                </w:rPr>
                <w:t>bernadette.chatard@capgemini.com</w:t>
              </w:r>
            </w:hyperlink>
          </w:p>
        </w:tc>
      </w:tr>
    </w:tbl>
    <w:p w:rsidR="00926FA4" w:rsidRPr="00052040" w:rsidRDefault="00926FA4" w:rsidP="00926FA4">
      <w:pPr>
        <w:autoSpaceDE w:val="0"/>
        <w:autoSpaceDN w:val="0"/>
        <w:adjustRightInd w:val="0"/>
        <w:spacing w:after="0" w:line="240" w:lineRule="auto"/>
        <w:jc w:val="both"/>
        <w:rPr>
          <w:rFonts w:ascii="Verdana" w:hAnsi="Verdana" w:cs="Verdana"/>
          <w:color w:val="000000"/>
          <w:sz w:val="20"/>
          <w:szCs w:val="20"/>
          <w:lang w:val="de-DE"/>
        </w:rPr>
      </w:pPr>
    </w:p>
    <w:sectPr w:rsidR="00926FA4" w:rsidRPr="00052040" w:rsidSect="00926F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9B7" w:rsidRDefault="003919B7" w:rsidP="00926FA4">
      <w:pPr>
        <w:spacing w:after="0" w:line="240" w:lineRule="auto"/>
      </w:pPr>
      <w:r>
        <w:separator/>
      </w:r>
    </w:p>
  </w:endnote>
  <w:endnote w:type="continuationSeparator" w:id="0">
    <w:p w:rsidR="003919B7" w:rsidRDefault="003919B7" w:rsidP="00926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9B7" w:rsidRDefault="003919B7" w:rsidP="00926FA4">
      <w:pPr>
        <w:spacing w:after="0" w:line="240" w:lineRule="auto"/>
      </w:pPr>
      <w:r>
        <w:separator/>
      </w:r>
    </w:p>
  </w:footnote>
  <w:footnote w:type="continuationSeparator" w:id="0">
    <w:p w:rsidR="003919B7" w:rsidRDefault="003919B7" w:rsidP="00926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C18"/>
    <w:multiLevelType w:val="hybridMultilevel"/>
    <w:tmpl w:val="71AC5FAC"/>
    <w:lvl w:ilvl="0" w:tplc="A190AF72">
      <w:start w:val="1"/>
      <w:numFmt w:val="bullet"/>
      <w:lvlText w:val=""/>
      <w:lvlJc w:val="left"/>
      <w:pPr>
        <w:tabs>
          <w:tab w:val="num" w:pos="720"/>
        </w:tabs>
        <w:ind w:left="720" w:hanging="360"/>
      </w:pPr>
      <w:rPr>
        <w:rFonts w:ascii="Wingdings" w:hAnsi="Wingdings" w:hint="default"/>
      </w:rPr>
    </w:lvl>
    <w:lvl w:ilvl="1" w:tplc="1B6C788A" w:tentative="1">
      <w:start w:val="1"/>
      <w:numFmt w:val="bullet"/>
      <w:lvlText w:val=""/>
      <w:lvlJc w:val="left"/>
      <w:pPr>
        <w:tabs>
          <w:tab w:val="num" w:pos="1440"/>
        </w:tabs>
        <w:ind w:left="1440" w:hanging="360"/>
      </w:pPr>
      <w:rPr>
        <w:rFonts w:ascii="Wingdings" w:hAnsi="Wingdings" w:hint="default"/>
      </w:rPr>
    </w:lvl>
    <w:lvl w:ilvl="2" w:tplc="BCFC8FD6" w:tentative="1">
      <w:start w:val="1"/>
      <w:numFmt w:val="bullet"/>
      <w:lvlText w:val=""/>
      <w:lvlJc w:val="left"/>
      <w:pPr>
        <w:tabs>
          <w:tab w:val="num" w:pos="2160"/>
        </w:tabs>
        <w:ind w:left="2160" w:hanging="360"/>
      </w:pPr>
      <w:rPr>
        <w:rFonts w:ascii="Wingdings" w:hAnsi="Wingdings" w:hint="default"/>
      </w:rPr>
    </w:lvl>
    <w:lvl w:ilvl="3" w:tplc="9C40BC18" w:tentative="1">
      <w:start w:val="1"/>
      <w:numFmt w:val="bullet"/>
      <w:lvlText w:val=""/>
      <w:lvlJc w:val="left"/>
      <w:pPr>
        <w:tabs>
          <w:tab w:val="num" w:pos="2880"/>
        </w:tabs>
        <w:ind w:left="2880" w:hanging="360"/>
      </w:pPr>
      <w:rPr>
        <w:rFonts w:ascii="Wingdings" w:hAnsi="Wingdings" w:hint="default"/>
      </w:rPr>
    </w:lvl>
    <w:lvl w:ilvl="4" w:tplc="8FF2BD90" w:tentative="1">
      <w:start w:val="1"/>
      <w:numFmt w:val="bullet"/>
      <w:lvlText w:val=""/>
      <w:lvlJc w:val="left"/>
      <w:pPr>
        <w:tabs>
          <w:tab w:val="num" w:pos="3600"/>
        </w:tabs>
        <w:ind w:left="3600" w:hanging="360"/>
      </w:pPr>
      <w:rPr>
        <w:rFonts w:ascii="Wingdings" w:hAnsi="Wingdings" w:hint="default"/>
      </w:rPr>
    </w:lvl>
    <w:lvl w:ilvl="5" w:tplc="EAA2C578" w:tentative="1">
      <w:start w:val="1"/>
      <w:numFmt w:val="bullet"/>
      <w:lvlText w:val=""/>
      <w:lvlJc w:val="left"/>
      <w:pPr>
        <w:tabs>
          <w:tab w:val="num" w:pos="4320"/>
        </w:tabs>
        <w:ind w:left="4320" w:hanging="360"/>
      </w:pPr>
      <w:rPr>
        <w:rFonts w:ascii="Wingdings" w:hAnsi="Wingdings" w:hint="default"/>
      </w:rPr>
    </w:lvl>
    <w:lvl w:ilvl="6" w:tplc="0C92B5B0" w:tentative="1">
      <w:start w:val="1"/>
      <w:numFmt w:val="bullet"/>
      <w:lvlText w:val=""/>
      <w:lvlJc w:val="left"/>
      <w:pPr>
        <w:tabs>
          <w:tab w:val="num" w:pos="5040"/>
        </w:tabs>
        <w:ind w:left="5040" w:hanging="360"/>
      </w:pPr>
      <w:rPr>
        <w:rFonts w:ascii="Wingdings" w:hAnsi="Wingdings" w:hint="default"/>
      </w:rPr>
    </w:lvl>
    <w:lvl w:ilvl="7" w:tplc="BEEAA342" w:tentative="1">
      <w:start w:val="1"/>
      <w:numFmt w:val="bullet"/>
      <w:lvlText w:val=""/>
      <w:lvlJc w:val="left"/>
      <w:pPr>
        <w:tabs>
          <w:tab w:val="num" w:pos="5760"/>
        </w:tabs>
        <w:ind w:left="5760" w:hanging="360"/>
      </w:pPr>
      <w:rPr>
        <w:rFonts w:ascii="Wingdings" w:hAnsi="Wingdings" w:hint="default"/>
      </w:rPr>
    </w:lvl>
    <w:lvl w:ilvl="8" w:tplc="919A55DC" w:tentative="1">
      <w:start w:val="1"/>
      <w:numFmt w:val="bullet"/>
      <w:lvlText w:val=""/>
      <w:lvlJc w:val="left"/>
      <w:pPr>
        <w:tabs>
          <w:tab w:val="num" w:pos="6480"/>
        </w:tabs>
        <w:ind w:left="6480" w:hanging="360"/>
      </w:pPr>
      <w:rPr>
        <w:rFonts w:ascii="Wingdings" w:hAnsi="Wingdings" w:hint="default"/>
      </w:rPr>
    </w:lvl>
  </w:abstractNum>
  <w:abstractNum w:abstractNumId="1">
    <w:nsid w:val="227A559D"/>
    <w:multiLevelType w:val="hybridMultilevel"/>
    <w:tmpl w:val="F5B8379E"/>
    <w:lvl w:ilvl="0" w:tplc="175A1D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A35DBB"/>
    <w:multiLevelType w:val="hybridMultilevel"/>
    <w:tmpl w:val="F888FD56"/>
    <w:lvl w:ilvl="0" w:tplc="F1588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6A325AD"/>
    <w:multiLevelType w:val="hybridMultilevel"/>
    <w:tmpl w:val="1486CB06"/>
    <w:lvl w:ilvl="0" w:tplc="75DC070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BC216D2"/>
    <w:multiLevelType w:val="hybridMultilevel"/>
    <w:tmpl w:val="64A689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CC769E"/>
    <w:multiLevelType w:val="hybridMultilevel"/>
    <w:tmpl w:val="B432808A"/>
    <w:lvl w:ilvl="0" w:tplc="F9583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0B50A5"/>
    <w:multiLevelType w:val="hybridMultilevel"/>
    <w:tmpl w:val="10BC453A"/>
    <w:lvl w:ilvl="0" w:tplc="228478CE">
      <w:numFmt w:val="bullet"/>
      <w:lvlText w:val="-"/>
      <w:lvlJc w:val="left"/>
      <w:pPr>
        <w:ind w:left="720" w:hanging="360"/>
      </w:pPr>
      <w:rPr>
        <w:rFonts w:ascii="Verdana" w:eastAsia="Calibri" w:hAnsi="Verdana" w:cs="Aria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D584767"/>
    <w:multiLevelType w:val="hybridMultilevel"/>
    <w:tmpl w:val="E65266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Symbol"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Symbol"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62812EC8"/>
    <w:multiLevelType w:val="hybridMultilevel"/>
    <w:tmpl w:val="C2E8F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65093D"/>
    <w:multiLevelType w:val="hybridMultilevel"/>
    <w:tmpl w:val="89B2D506"/>
    <w:lvl w:ilvl="0" w:tplc="5838F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10401AD"/>
    <w:multiLevelType w:val="hybridMultilevel"/>
    <w:tmpl w:val="D310BFD4"/>
    <w:lvl w:ilvl="0" w:tplc="A190AF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EC36C8"/>
    <w:multiLevelType w:val="hybridMultilevel"/>
    <w:tmpl w:val="7082B532"/>
    <w:lvl w:ilvl="0" w:tplc="DBAE41BC">
      <w:start w:val="1"/>
      <w:numFmt w:val="bullet"/>
      <w:lvlText w:val=""/>
      <w:lvlJc w:val="left"/>
      <w:pPr>
        <w:tabs>
          <w:tab w:val="num" w:pos="720"/>
        </w:tabs>
        <w:ind w:left="720" w:hanging="360"/>
      </w:pPr>
      <w:rPr>
        <w:rFonts w:ascii="Wingdings" w:hAnsi="Wingdings" w:hint="default"/>
      </w:rPr>
    </w:lvl>
    <w:lvl w:ilvl="1" w:tplc="45E01782">
      <w:start w:val="1"/>
      <w:numFmt w:val="bullet"/>
      <w:lvlText w:val=""/>
      <w:lvlJc w:val="left"/>
      <w:pPr>
        <w:tabs>
          <w:tab w:val="num" w:pos="1440"/>
        </w:tabs>
        <w:ind w:left="1440" w:hanging="360"/>
      </w:pPr>
      <w:rPr>
        <w:rFonts w:ascii="Wingdings" w:hAnsi="Wingdings" w:hint="default"/>
      </w:rPr>
    </w:lvl>
    <w:lvl w:ilvl="2" w:tplc="3202D7C8" w:tentative="1">
      <w:start w:val="1"/>
      <w:numFmt w:val="bullet"/>
      <w:lvlText w:val=""/>
      <w:lvlJc w:val="left"/>
      <w:pPr>
        <w:tabs>
          <w:tab w:val="num" w:pos="2160"/>
        </w:tabs>
        <w:ind w:left="2160" w:hanging="360"/>
      </w:pPr>
      <w:rPr>
        <w:rFonts w:ascii="Wingdings" w:hAnsi="Wingdings" w:hint="default"/>
      </w:rPr>
    </w:lvl>
    <w:lvl w:ilvl="3" w:tplc="B6C6741E" w:tentative="1">
      <w:start w:val="1"/>
      <w:numFmt w:val="bullet"/>
      <w:lvlText w:val=""/>
      <w:lvlJc w:val="left"/>
      <w:pPr>
        <w:tabs>
          <w:tab w:val="num" w:pos="2880"/>
        </w:tabs>
        <w:ind w:left="2880" w:hanging="360"/>
      </w:pPr>
      <w:rPr>
        <w:rFonts w:ascii="Wingdings" w:hAnsi="Wingdings" w:hint="default"/>
      </w:rPr>
    </w:lvl>
    <w:lvl w:ilvl="4" w:tplc="FC841044" w:tentative="1">
      <w:start w:val="1"/>
      <w:numFmt w:val="bullet"/>
      <w:lvlText w:val=""/>
      <w:lvlJc w:val="left"/>
      <w:pPr>
        <w:tabs>
          <w:tab w:val="num" w:pos="3600"/>
        </w:tabs>
        <w:ind w:left="3600" w:hanging="360"/>
      </w:pPr>
      <w:rPr>
        <w:rFonts w:ascii="Wingdings" w:hAnsi="Wingdings" w:hint="default"/>
      </w:rPr>
    </w:lvl>
    <w:lvl w:ilvl="5" w:tplc="51323FA4" w:tentative="1">
      <w:start w:val="1"/>
      <w:numFmt w:val="bullet"/>
      <w:lvlText w:val=""/>
      <w:lvlJc w:val="left"/>
      <w:pPr>
        <w:tabs>
          <w:tab w:val="num" w:pos="4320"/>
        </w:tabs>
        <w:ind w:left="4320" w:hanging="360"/>
      </w:pPr>
      <w:rPr>
        <w:rFonts w:ascii="Wingdings" w:hAnsi="Wingdings" w:hint="default"/>
      </w:rPr>
    </w:lvl>
    <w:lvl w:ilvl="6" w:tplc="C130C642" w:tentative="1">
      <w:start w:val="1"/>
      <w:numFmt w:val="bullet"/>
      <w:lvlText w:val=""/>
      <w:lvlJc w:val="left"/>
      <w:pPr>
        <w:tabs>
          <w:tab w:val="num" w:pos="5040"/>
        </w:tabs>
        <w:ind w:left="5040" w:hanging="360"/>
      </w:pPr>
      <w:rPr>
        <w:rFonts w:ascii="Wingdings" w:hAnsi="Wingdings" w:hint="default"/>
      </w:rPr>
    </w:lvl>
    <w:lvl w:ilvl="7" w:tplc="4CDE6C80" w:tentative="1">
      <w:start w:val="1"/>
      <w:numFmt w:val="bullet"/>
      <w:lvlText w:val=""/>
      <w:lvlJc w:val="left"/>
      <w:pPr>
        <w:tabs>
          <w:tab w:val="num" w:pos="5760"/>
        </w:tabs>
        <w:ind w:left="5760" w:hanging="360"/>
      </w:pPr>
      <w:rPr>
        <w:rFonts w:ascii="Wingdings" w:hAnsi="Wingdings" w:hint="default"/>
      </w:rPr>
    </w:lvl>
    <w:lvl w:ilvl="8" w:tplc="CA6AC90E" w:tentative="1">
      <w:start w:val="1"/>
      <w:numFmt w:val="bullet"/>
      <w:lvlText w:val=""/>
      <w:lvlJc w:val="left"/>
      <w:pPr>
        <w:tabs>
          <w:tab w:val="num" w:pos="6480"/>
        </w:tabs>
        <w:ind w:left="6480" w:hanging="360"/>
      </w:pPr>
      <w:rPr>
        <w:rFonts w:ascii="Wingdings" w:hAnsi="Wingdings" w:hint="default"/>
      </w:rPr>
    </w:lvl>
  </w:abstractNum>
  <w:abstractNum w:abstractNumId="12">
    <w:nsid w:val="794E706D"/>
    <w:multiLevelType w:val="hybridMultilevel"/>
    <w:tmpl w:val="CB921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EFF53E0"/>
    <w:multiLevelType w:val="hybridMultilevel"/>
    <w:tmpl w:val="46E08AE8"/>
    <w:lvl w:ilvl="0" w:tplc="5838F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FBD3881"/>
    <w:multiLevelType w:val="hybridMultilevel"/>
    <w:tmpl w:val="CAAEEA98"/>
    <w:lvl w:ilvl="0" w:tplc="A190AF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4"/>
  </w:num>
  <w:num w:numId="5">
    <w:abstractNumId w:val="7"/>
  </w:num>
  <w:num w:numId="6">
    <w:abstractNumId w:val="3"/>
  </w:num>
  <w:num w:numId="7">
    <w:abstractNumId w:val="14"/>
  </w:num>
  <w:num w:numId="8">
    <w:abstractNumId w:val="10"/>
  </w:num>
  <w:num w:numId="9">
    <w:abstractNumId w:val="12"/>
  </w:num>
  <w:num w:numId="10">
    <w:abstractNumId w:val="8"/>
  </w:num>
  <w:num w:numId="11">
    <w:abstractNumId w:val="13"/>
  </w:num>
  <w:num w:numId="12">
    <w:abstractNumId w:val="2"/>
  </w:num>
  <w:num w:numId="13">
    <w:abstractNumId w:val="5"/>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44C2A"/>
    <w:rsid w:val="003919B7"/>
    <w:rsid w:val="00462460"/>
    <w:rsid w:val="00926FA4"/>
    <w:rsid w:val="00CF13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7E"/>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1AF"/>
    <w:rPr>
      <w:rFonts w:ascii="Arial" w:hAnsi="Arial" w:cs="Arial" w:hint="default"/>
      <w:b/>
      <w:bCs/>
      <w:strike w:val="0"/>
      <w:dstrike w:val="0"/>
      <w:color w:val="0000FF"/>
      <w:sz w:val="12"/>
      <w:szCs w:val="12"/>
      <w:u w:val="none"/>
      <w:effect w:val="none"/>
    </w:rPr>
  </w:style>
  <w:style w:type="table" w:styleId="TableGrid">
    <w:name w:val="Table Grid"/>
    <w:basedOn w:val="TableNormal"/>
    <w:uiPriority w:val="59"/>
    <w:rsid w:val="00957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59A"/>
    <w:rPr>
      <w:rFonts w:ascii="Tahoma" w:hAnsi="Tahoma" w:cs="Tahoma"/>
      <w:sz w:val="16"/>
      <w:szCs w:val="16"/>
      <w:lang w:eastAsia="en-US"/>
    </w:rPr>
  </w:style>
  <w:style w:type="character" w:styleId="CommentReference">
    <w:name w:val="annotation reference"/>
    <w:basedOn w:val="DefaultParagraphFont"/>
    <w:uiPriority w:val="99"/>
    <w:semiHidden/>
    <w:unhideWhenUsed/>
    <w:rsid w:val="00A92D98"/>
    <w:rPr>
      <w:sz w:val="16"/>
      <w:szCs w:val="16"/>
    </w:rPr>
  </w:style>
  <w:style w:type="paragraph" w:styleId="CommentText">
    <w:name w:val="annotation text"/>
    <w:basedOn w:val="Normal"/>
    <w:link w:val="CommentTextChar"/>
    <w:uiPriority w:val="99"/>
    <w:semiHidden/>
    <w:unhideWhenUsed/>
    <w:rsid w:val="00A92D98"/>
    <w:rPr>
      <w:sz w:val="20"/>
      <w:szCs w:val="20"/>
    </w:rPr>
  </w:style>
  <w:style w:type="character" w:customStyle="1" w:styleId="CommentTextChar">
    <w:name w:val="Comment Text Char"/>
    <w:basedOn w:val="DefaultParagraphFont"/>
    <w:link w:val="CommentText"/>
    <w:uiPriority w:val="99"/>
    <w:semiHidden/>
    <w:rsid w:val="00A92D98"/>
    <w:rPr>
      <w:lang w:eastAsia="en-US"/>
    </w:rPr>
  </w:style>
  <w:style w:type="paragraph" w:styleId="CommentSubject">
    <w:name w:val="annotation subject"/>
    <w:basedOn w:val="CommentText"/>
    <w:next w:val="CommentText"/>
    <w:link w:val="CommentSubjectChar"/>
    <w:uiPriority w:val="99"/>
    <w:semiHidden/>
    <w:unhideWhenUsed/>
    <w:rsid w:val="00A92D98"/>
    <w:rPr>
      <w:b/>
      <w:bCs/>
    </w:rPr>
  </w:style>
  <w:style w:type="character" w:customStyle="1" w:styleId="CommentSubjectChar">
    <w:name w:val="Comment Subject Char"/>
    <w:basedOn w:val="CommentTextChar"/>
    <w:link w:val="CommentSubject"/>
    <w:uiPriority w:val="99"/>
    <w:semiHidden/>
    <w:rsid w:val="00A92D98"/>
    <w:rPr>
      <w:b/>
      <w:bCs/>
    </w:rPr>
  </w:style>
  <w:style w:type="paragraph" w:styleId="FootnoteText">
    <w:name w:val="footnote text"/>
    <w:basedOn w:val="Normal"/>
    <w:link w:val="FootnoteTextChar"/>
    <w:uiPriority w:val="99"/>
    <w:semiHidden/>
    <w:unhideWhenUsed/>
    <w:rsid w:val="00177DBA"/>
    <w:rPr>
      <w:sz w:val="20"/>
      <w:szCs w:val="20"/>
    </w:rPr>
  </w:style>
  <w:style w:type="character" w:customStyle="1" w:styleId="FootnoteTextChar">
    <w:name w:val="Footnote Text Char"/>
    <w:basedOn w:val="DefaultParagraphFont"/>
    <w:link w:val="FootnoteText"/>
    <w:uiPriority w:val="99"/>
    <w:semiHidden/>
    <w:rsid w:val="00177DBA"/>
    <w:rPr>
      <w:lang w:eastAsia="en-US"/>
    </w:rPr>
  </w:style>
  <w:style w:type="character" w:styleId="FootnoteReference">
    <w:name w:val="footnote reference"/>
    <w:basedOn w:val="DefaultParagraphFont"/>
    <w:uiPriority w:val="99"/>
    <w:semiHidden/>
    <w:unhideWhenUsed/>
    <w:rsid w:val="00177DBA"/>
    <w:rPr>
      <w:vertAlign w:val="superscript"/>
    </w:rPr>
  </w:style>
  <w:style w:type="paragraph" w:styleId="NormalWeb">
    <w:name w:val="Normal (Web)"/>
    <w:basedOn w:val="Normal"/>
    <w:uiPriority w:val="99"/>
    <w:semiHidden/>
    <w:unhideWhenUsed/>
    <w:rsid w:val="001B1C3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lang-en">
    <w:name w:val="lang-en"/>
    <w:basedOn w:val="DefaultParagraphFont"/>
    <w:rsid w:val="001B1C34"/>
  </w:style>
  <w:style w:type="paragraph" w:styleId="LightGrid-Accent3">
    <w:name w:val="Light Grid Accent 3"/>
    <w:basedOn w:val="Normal"/>
    <w:uiPriority w:val="34"/>
    <w:qFormat/>
    <w:rsid w:val="00F74B64"/>
    <w:pPr>
      <w:ind w:left="708"/>
    </w:pPr>
  </w:style>
  <w:style w:type="paragraph" w:styleId="MediumList2-Accent2">
    <w:name w:val="Medium List 2 Accent 2"/>
    <w:hidden/>
    <w:uiPriority w:val="99"/>
    <w:semiHidden/>
    <w:rsid w:val="00AA3061"/>
    <w:rPr>
      <w:sz w:val="22"/>
      <w:szCs w:val="22"/>
      <w:lang w:eastAsia="en-US"/>
    </w:rPr>
  </w:style>
  <w:style w:type="character" w:styleId="FollowedHyperlink">
    <w:name w:val="FollowedHyperlink"/>
    <w:basedOn w:val="DefaultParagraphFont"/>
    <w:uiPriority w:val="99"/>
    <w:semiHidden/>
    <w:unhideWhenUsed/>
    <w:rsid w:val="00775C4F"/>
    <w:rPr>
      <w:color w:val="800080"/>
      <w:u w:val="single"/>
    </w:rPr>
  </w:style>
</w:styles>
</file>

<file path=word/webSettings.xml><?xml version="1.0" encoding="utf-8"?>
<w:webSettings xmlns:r="http://schemas.openxmlformats.org/officeDocument/2006/relationships" xmlns:w="http://schemas.openxmlformats.org/wordprocessingml/2006/main">
  <w:divs>
    <w:div w:id="154610492">
      <w:bodyDiv w:val="1"/>
      <w:marLeft w:val="0"/>
      <w:marRight w:val="0"/>
      <w:marTop w:val="0"/>
      <w:marBottom w:val="0"/>
      <w:divBdr>
        <w:top w:val="none" w:sz="0" w:space="0" w:color="auto"/>
        <w:left w:val="none" w:sz="0" w:space="0" w:color="auto"/>
        <w:bottom w:val="none" w:sz="0" w:space="0" w:color="auto"/>
        <w:right w:val="none" w:sz="0" w:space="0" w:color="auto"/>
      </w:divBdr>
    </w:div>
    <w:div w:id="566571747">
      <w:bodyDiv w:val="1"/>
      <w:marLeft w:val="0"/>
      <w:marRight w:val="0"/>
      <w:marTop w:val="0"/>
      <w:marBottom w:val="0"/>
      <w:divBdr>
        <w:top w:val="none" w:sz="0" w:space="0" w:color="auto"/>
        <w:left w:val="none" w:sz="0" w:space="0" w:color="auto"/>
        <w:bottom w:val="none" w:sz="0" w:space="0" w:color="auto"/>
        <w:right w:val="none" w:sz="0" w:space="0" w:color="auto"/>
      </w:divBdr>
      <w:divsChild>
        <w:div w:id="28192956">
          <w:marLeft w:val="302"/>
          <w:marRight w:val="0"/>
          <w:marTop w:val="79"/>
          <w:marBottom w:val="0"/>
          <w:divBdr>
            <w:top w:val="none" w:sz="0" w:space="0" w:color="auto"/>
            <w:left w:val="none" w:sz="0" w:space="0" w:color="auto"/>
            <w:bottom w:val="none" w:sz="0" w:space="0" w:color="auto"/>
            <w:right w:val="none" w:sz="0" w:space="0" w:color="auto"/>
          </w:divBdr>
        </w:div>
        <w:div w:id="706755933">
          <w:marLeft w:val="302"/>
          <w:marRight w:val="0"/>
          <w:marTop w:val="79"/>
          <w:marBottom w:val="0"/>
          <w:divBdr>
            <w:top w:val="none" w:sz="0" w:space="0" w:color="auto"/>
            <w:left w:val="none" w:sz="0" w:space="0" w:color="auto"/>
            <w:bottom w:val="none" w:sz="0" w:space="0" w:color="auto"/>
            <w:right w:val="none" w:sz="0" w:space="0" w:color="auto"/>
          </w:divBdr>
        </w:div>
        <w:div w:id="920529636">
          <w:marLeft w:val="302"/>
          <w:marRight w:val="0"/>
          <w:marTop w:val="79"/>
          <w:marBottom w:val="0"/>
          <w:divBdr>
            <w:top w:val="none" w:sz="0" w:space="0" w:color="auto"/>
            <w:left w:val="none" w:sz="0" w:space="0" w:color="auto"/>
            <w:bottom w:val="none" w:sz="0" w:space="0" w:color="auto"/>
            <w:right w:val="none" w:sz="0" w:space="0" w:color="auto"/>
          </w:divBdr>
        </w:div>
        <w:div w:id="1141851609">
          <w:marLeft w:val="302"/>
          <w:marRight w:val="0"/>
          <w:marTop w:val="79"/>
          <w:marBottom w:val="0"/>
          <w:divBdr>
            <w:top w:val="none" w:sz="0" w:space="0" w:color="auto"/>
            <w:left w:val="none" w:sz="0" w:space="0" w:color="auto"/>
            <w:bottom w:val="none" w:sz="0" w:space="0" w:color="auto"/>
            <w:right w:val="none" w:sz="0" w:space="0" w:color="auto"/>
          </w:divBdr>
        </w:div>
      </w:divsChild>
    </w:div>
    <w:div w:id="946892486">
      <w:bodyDiv w:val="1"/>
      <w:marLeft w:val="0"/>
      <w:marRight w:val="0"/>
      <w:marTop w:val="0"/>
      <w:marBottom w:val="0"/>
      <w:divBdr>
        <w:top w:val="none" w:sz="0" w:space="0" w:color="auto"/>
        <w:left w:val="none" w:sz="0" w:space="0" w:color="auto"/>
        <w:bottom w:val="none" w:sz="0" w:space="0" w:color="auto"/>
        <w:right w:val="none" w:sz="0" w:space="0" w:color="auto"/>
      </w:divBdr>
      <w:divsChild>
        <w:div w:id="950626393">
          <w:marLeft w:val="144"/>
          <w:marRight w:val="0"/>
          <w:marTop w:val="80"/>
          <w:marBottom w:val="80"/>
          <w:divBdr>
            <w:top w:val="none" w:sz="0" w:space="0" w:color="auto"/>
            <w:left w:val="none" w:sz="0" w:space="0" w:color="auto"/>
            <w:bottom w:val="none" w:sz="0" w:space="0" w:color="auto"/>
            <w:right w:val="none" w:sz="0" w:space="0" w:color="auto"/>
          </w:divBdr>
        </w:div>
        <w:div w:id="1204825433">
          <w:marLeft w:val="144"/>
          <w:marRight w:val="0"/>
          <w:marTop w:val="80"/>
          <w:marBottom w:val="80"/>
          <w:divBdr>
            <w:top w:val="none" w:sz="0" w:space="0" w:color="auto"/>
            <w:left w:val="none" w:sz="0" w:space="0" w:color="auto"/>
            <w:bottom w:val="none" w:sz="0" w:space="0" w:color="auto"/>
            <w:right w:val="none" w:sz="0" w:space="0" w:color="auto"/>
          </w:divBdr>
        </w:div>
        <w:div w:id="1305739275">
          <w:marLeft w:val="144"/>
          <w:marRight w:val="0"/>
          <w:marTop w:val="80"/>
          <w:marBottom w:val="80"/>
          <w:divBdr>
            <w:top w:val="none" w:sz="0" w:space="0" w:color="auto"/>
            <w:left w:val="none" w:sz="0" w:space="0" w:color="auto"/>
            <w:bottom w:val="none" w:sz="0" w:space="0" w:color="auto"/>
            <w:right w:val="none" w:sz="0" w:space="0" w:color="auto"/>
          </w:divBdr>
        </w:div>
        <w:div w:id="1477182899">
          <w:marLeft w:val="144"/>
          <w:marRight w:val="0"/>
          <w:marTop w:val="80"/>
          <w:marBottom w:val="80"/>
          <w:divBdr>
            <w:top w:val="none" w:sz="0" w:space="0" w:color="auto"/>
            <w:left w:val="none" w:sz="0" w:space="0" w:color="auto"/>
            <w:bottom w:val="none" w:sz="0" w:space="0" w:color="auto"/>
            <w:right w:val="none" w:sz="0" w:space="0" w:color="auto"/>
          </w:divBdr>
        </w:div>
        <w:div w:id="1556429860">
          <w:marLeft w:val="144"/>
          <w:marRight w:val="0"/>
          <w:marTop w:val="80"/>
          <w:marBottom w:val="80"/>
          <w:divBdr>
            <w:top w:val="none" w:sz="0" w:space="0" w:color="auto"/>
            <w:left w:val="none" w:sz="0" w:space="0" w:color="auto"/>
            <w:bottom w:val="none" w:sz="0" w:space="0" w:color="auto"/>
            <w:right w:val="none" w:sz="0" w:space="0" w:color="auto"/>
          </w:divBdr>
        </w:div>
      </w:divsChild>
    </w:div>
    <w:div w:id="1396053648">
      <w:bodyDiv w:val="1"/>
      <w:marLeft w:val="0"/>
      <w:marRight w:val="0"/>
      <w:marTop w:val="0"/>
      <w:marBottom w:val="0"/>
      <w:divBdr>
        <w:top w:val="none" w:sz="0" w:space="0" w:color="auto"/>
        <w:left w:val="none" w:sz="0" w:space="0" w:color="auto"/>
        <w:bottom w:val="none" w:sz="0" w:space="0" w:color="auto"/>
        <w:right w:val="none" w:sz="0" w:space="0" w:color="auto"/>
      </w:divBdr>
      <w:divsChild>
        <w:div w:id="692270106">
          <w:marLeft w:val="432"/>
          <w:marRight w:val="0"/>
          <w:marTop w:val="0"/>
          <w:marBottom w:val="0"/>
          <w:divBdr>
            <w:top w:val="none" w:sz="0" w:space="0" w:color="auto"/>
            <w:left w:val="none" w:sz="0" w:space="0" w:color="auto"/>
            <w:bottom w:val="none" w:sz="0" w:space="0" w:color="auto"/>
            <w:right w:val="none" w:sz="0" w:space="0" w:color="auto"/>
          </w:divBdr>
        </w:div>
      </w:divsChild>
    </w:div>
    <w:div w:id="2034071534">
      <w:bodyDiv w:val="1"/>
      <w:marLeft w:val="0"/>
      <w:marRight w:val="0"/>
      <w:marTop w:val="0"/>
      <w:marBottom w:val="0"/>
      <w:divBdr>
        <w:top w:val="none" w:sz="0" w:space="0" w:color="auto"/>
        <w:left w:val="none" w:sz="0" w:space="0" w:color="auto"/>
        <w:bottom w:val="none" w:sz="0" w:space="0" w:color="auto"/>
        <w:right w:val="none" w:sz="0" w:space="0" w:color="auto"/>
      </w:divBdr>
      <w:divsChild>
        <w:div w:id="1916892505">
          <w:marLeft w:val="0"/>
          <w:marRight w:val="0"/>
          <w:marTop w:val="0"/>
          <w:marBottom w:val="0"/>
          <w:divBdr>
            <w:top w:val="none" w:sz="0" w:space="0" w:color="auto"/>
            <w:left w:val="none" w:sz="0" w:space="0" w:color="auto"/>
            <w:bottom w:val="none" w:sz="0" w:space="0" w:color="auto"/>
            <w:right w:val="none" w:sz="0" w:space="0" w:color="auto"/>
          </w:divBdr>
          <w:divsChild>
            <w:div w:id="7422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rnadette.chatard@capgemini.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decam.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gemin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ri-france.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12087</CharactersWithSpaces>
  <SharedDoc>false</SharedDoc>
  <HLinks>
    <vt:vector size="42" baseType="variant">
      <vt:variant>
        <vt:i4>4587595</vt:i4>
      </vt:variant>
      <vt:variant>
        <vt:i4>9</vt:i4>
      </vt:variant>
      <vt:variant>
        <vt:i4>0</vt:i4>
      </vt:variant>
      <vt:variant>
        <vt:i4>5</vt:i4>
      </vt:variant>
      <vt:variant>
        <vt:lpwstr>mailto:bernadette.chatard@capgemini.com</vt:lpwstr>
      </vt:variant>
      <vt:variant>
        <vt:lpwstr/>
      </vt:variant>
      <vt:variant>
        <vt:i4>393308</vt:i4>
      </vt:variant>
      <vt:variant>
        <vt:i4>6</vt:i4>
      </vt:variant>
      <vt:variant>
        <vt:i4>0</vt:i4>
      </vt:variant>
      <vt:variant>
        <vt:i4>5</vt:i4>
      </vt:variant>
      <vt:variant>
        <vt:lpwstr>http://www.udecam.fr</vt:lpwstr>
      </vt:variant>
      <vt:variant>
        <vt:lpwstr/>
      </vt:variant>
      <vt:variant>
        <vt:i4>5439547</vt:i4>
      </vt:variant>
      <vt:variant>
        <vt:i4>3</vt:i4>
      </vt:variant>
      <vt:variant>
        <vt:i4>0</vt:i4>
      </vt:variant>
      <vt:variant>
        <vt:i4>5</vt:i4>
      </vt:variant>
      <vt:variant>
        <vt:lpwstr>http://www.capgemini.com/</vt:lpwstr>
      </vt:variant>
      <vt:variant>
        <vt:lpwstr/>
      </vt:variant>
      <vt:variant>
        <vt:i4>589950</vt:i4>
      </vt:variant>
      <vt:variant>
        <vt:i4>0</vt:i4>
      </vt:variant>
      <vt:variant>
        <vt:i4>0</vt:i4>
      </vt:variant>
      <vt:variant>
        <vt:i4>5</vt:i4>
      </vt:variant>
      <vt:variant>
        <vt:lpwstr>http://www.sri-france.org</vt:lpwstr>
      </vt:variant>
      <vt:variant>
        <vt:lpwstr/>
      </vt:variant>
      <vt:variant>
        <vt:i4>0</vt:i4>
      </vt:variant>
      <vt:variant>
        <vt:i4>-1</vt:i4>
      </vt:variant>
      <vt:variant>
        <vt:i4>1026</vt:i4>
      </vt:variant>
      <vt:variant>
        <vt:i4>1</vt:i4>
      </vt:variant>
      <vt:variant>
        <vt:lpwstr/>
      </vt:variant>
      <vt:variant>
        <vt:lpwstr/>
      </vt:variant>
      <vt:variant>
        <vt:i4>7405633</vt:i4>
      </vt:variant>
      <vt:variant>
        <vt:i4>-1</vt:i4>
      </vt:variant>
      <vt:variant>
        <vt:i4>1027</vt:i4>
      </vt:variant>
      <vt:variant>
        <vt:i4>1</vt:i4>
      </vt:variant>
      <vt:variant>
        <vt:lpwstr>Logo UDECAM</vt:lpwstr>
      </vt:variant>
      <vt:variant>
        <vt:lpwstr/>
      </vt:variant>
      <vt:variant>
        <vt:i4>3932163</vt:i4>
      </vt:variant>
      <vt:variant>
        <vt:i4>-1</vt:i4>
      </vt:variant>
      <vt:variant>
        <vt:i4>1028</vt:i4>
      </vt:variant>
      <vt:variant>
        <vt:i4>1</vt:i4>
      </vt:variant>
      <vt:variant>
        <vt:lpwstr>newlogo SRI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Malika TARARBIT</dc:creator>
  <cp:lastModifiedBy>CHATARD Bernadette</cp:lastModifiedBy>
  <cp:revision>2</cp:revision>
  <cp:lastPrinted>2011-07-07T09:56:00Z</cp:lastPrinted>
  <dcterms:created xsi:type="dcterms:W3CDTF">2011-07-07T10:02:00Z</dcterms:created>
  <dcterms:modified xsi:type="dcterms:W3CDTF">2011-07-07T10:02:00Z</dcterms:modified>
</cp:coreProperties>
</file>